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22.png"/>
  <Override ContentType="image/png" PartName="/word/media/document_image_rId23.png"/>
  <Override ContentType="image/png" PartName="/word/media/document_image_rId24.png"/>
  <Override ContentType="image/png" PartName="/word/media/document_image_rId25.png"/>
  <Override ContentType="image/png" PartName="/word/media/document_image_rId26.png"/>
  <Override ContentType="image/png" PartName="/word/media/document_image_rId27.png"/>
  <Override ContentType="image/png" PartName="/word/media/document_image_rId28.png"/>
  <Override ContentType="image/png" PartName="/word/media/document_image_rId29.png"/>
  <Override ContentType="image/png" PartName="/word/media/document_image_rId30.png"/>
  <Override ContentType="image/png" PartName="/word/media/document_image_rId31.png"/>
  <Override ContentType="image/png" PartName="/word/media/document_image_rId32.png"/>
  <Override ContentType="image/png" PartName="/word/media/document_image_rId33.png"/>
  <Override ContentType="image/png" PartName="/word/media/document_image_rId34.png"/>
  <Override ContentType="image/png" PartName="/word/media/document_image_rId35.png"/>
  <Override ContentType="image/png" PartName="/word/media/document_image_rId36.png"/>
  <Override ContentType="image/png" PartName="/word/media/document_image_rId37.png"/>
  <Override ContentType="image/png" PartName="/word/media/document_image_rId38.png"/>
  <Override ContentType="image/png" PartName="/word/media/document_image_rId39.png"/>
  <Override ContentType="image/png" PartName="/word/media/document_image_rId40.png"/>
  <Override ContentType="image/png" PartName="/word/media/document_image_rId41.png"/>
  <Override ContentType="image/png" PartName="/word/media/document_image_rId42.png"/>
  <Override ContentType="image/png" PartName="/word/media/document_image_rId43.png"/>
  <Override ContentType="image/png" PartName="/word/media/document_image_rId45.png"/>
  <Override ContentType="image/png" PartName="/word/media/document_image_rId51.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Red Hat, Inc. Java 17.0.20.1 on Linux -->
    <w:p>
      <w:pPr>
        <w:pStyle w:val="Title"/>
        <w:spacing w:before="161" w:after="161"/>
        <w:ind w:left="120"/>
        <w:jc w:val="left"/>
      </w:pPr>
      <w:r>
        <w:rPr>
          <w:rFonts w:ascii="Times New Roman" w:hAnsi="Times New Roman"/>
          <w:b/>
          <w:color w:val="000000"/>
          <w:sz w:val="44"/>
        </w:rPr>
        <w:t>Ergebnisse der Umfrage zur Barrierefreiheit an Hochschulen</w:t>
      </w:r>
    </w:p>
    <w:p>
      <w:pPr>
        <w:spacing w:before="269" w:after="269"/>
        <w:ind w:left="120"/>
        <w:jc w:val="left"/>
      </w:pPr>
    </w:p>
    <w:p>
      <w:pPr>
        <w:spacing w:before="269" w:after="269"/>
        <w:ind w:left="120"/>
        <w:jc w:val="left"/>
      </w:pPr>
      <w:r>
        <w:rPr>
          <w:rFonts w:ascii="Times New Roman" w:hAnsi="Times New Roman"/>
          <w:b w:val="false"/>
          <w:i w:val="false"/>
          <w:color w:val="000000"/>
          <w:sz w:val="22"/>
        </w:rPr>
        <w:t>Version: 1.0</w:t>
      </w:r>
    </w:p>
    <w:p>
      <w:pPr>
        <w:spacing w:before="269" w:after="269"/>
        <w:ind w:left="120"/>
        <w:jc w:val="left"/>
      </w:pPr>
      <w:r>
        <w:rPr>
          <w:rFonts w:ascii="Times New Roman" w:hAnsi="Times New Roman"/>
          <w:b w:val="false"/>
          <w:i w:val="false"/>
          <w:color w:val="000000"/>
          <w:sz w:val="22"/>
        </w:rPr>
        <w:t xml:space="preserve">Sie können diese Handreichung als </w:t>
      </w:r>
      <w:hyperlink r:id="rId4">
        <w:r>
          <w:rPr>
            <w:rFonts w:ascii="Times New Roman" w:hAnsi="Times New Roman"/>
            <w:b w:val="false"/>
            <w:i w:val="false"/>
            <w:color w:val="0000ff"/>
            <w:sz w:val="22"/>
            <w:u w:val="single"/>
          </w:rPr>
          <w:t>PDF-Datei</w:t>
        </w:r>
        <w:r>
          <w:rPr>
            <w:rFonts w:ascii="Times New Roman" w:hAnsi="Times New Roman"/>
            <w:b w:val="false"/>
            <w:i w:val="false"/>
            <w:color w:val="0000ff"/>
            <w:sz w:val="22"/>
          </w:rPr>
          <w:t xml:space="preserve"> (Öffnet PDF-Dokument)</w:t>
        </w:r>
      </w:hyperlink>
      <w:r>
        <w:rPr>
          <w:rFonts w:ascii="Times New Roman" w:hAnsi="Times New Roman"/>
          <w:b w:val="false"/>
          <w:i w:val="false"/>
          <w:color w:val="000000"/>
          <w:sz w:val="22"/>
        </w:rPr>
        <w:t xml:space="preserve"> oder </w:t>
      </w:r>
      <w:hyperlink r:id="rId5">
        <w:r>
          <w:rPr>
            <w:rFonts w:ascii="Times New Roman" w:hAnsi="Times New Roman"/>
            <w:b w:val="false"/>
            <w:i w:val="false"/>
            <w:color w:val="0000ff"/>
            <w:sz w:val="22"/>
            <w:u w:val="single"/>
          </w:rPr>
          <w:t>DOCX-Datei</w:t>
        </w:r>
        <w:r>
          <w:rPr>
            <w:rFonts w:ascii="Times New Roman" w:hAnsi="Times New Roman"/>
            <w:b w:val="false"/>
            <w:i w:val="false"/>
            <w:color w:val="0000ff"/>
            <w:sz w:val="22"/>
          </w:rPr>
          <w:t xml:space="preserve"> (Öffnet Word-Dokument)</w:t>
        </w:r>
      </w:hyperlink>
      <w:r>
        <w:rPr>
          <w:rFonts w:ascii="Times New Roman" w:hAnsi="Times New Roman"/>
          <w:b w:val="false"/>
          <w:i w:val="false"/>
          <w:color w:val="000000"/>
          <w:sz w:val="22"/>
        </w:rPr>
        <w:t> herunterladen.</w:t>
      </w:r>
    </w:p>
    <w:bookmarkStart w:name="af2bf2c19013cbcd6c382776949a37b3" w:id="0"/>
    <w:p>
      <w:pPr>
        <w:pStyle w:val="Heading1"/>
        <w:spacing w:before="180" w:after="180"/>
        <w:ind w:left="120"/>
        <w:jc w:val="left"/>
      </w:pPr>
      <w:r>
        <w:rPr>
          <w:rFonts w:ascii="Times New Roman" w:hAnsi="Times New Roman"/>
          <w:color w:val="000000"/>
          <w:sz w:val="33"/>
        </w:rPr>
        <w:t>Inhaltsverzeichnis:</w:t>
      </w:r>
    </w:p>
    <w:bookmarkEnd w:id="0"/>
    <w:bookmarkStart w:name="ab4cb06af37fb3a0a8e72669824630b3" w:id="1"/>
    <w:p>
      <w:pPr>
        <w:numPr>
          <w:ilvl w:val="0"/>
          <w:numId w:val="1"/>
        </w:numPr>
        <w:spacing w:before="0" w:after="0"/>
        <w:jc w:val="left"/>
      </w:pPr>
      <w:hyperlink w:anchor="aa1cd04f104bc1f7346cdcf2e6a506be">
        <w:r>
          <w:rPr>
            <w:rFonts w:ascii="Times New Roman" w:hAnsi="Times New Roman"/>
            <w:b w:val="false"/>
            <w:i w:val="false"/>
            <w:color w:val="0000ff"/>
            <w:sz w:val="22"/>
            <w:u w:val="single"/>
          </w:rPr>
          <w:t>Einleitung und Motivation</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(4 min)</w:t>
      </w:r>
    </w:p>
    <w:p>
      <w:pPr>
        <w:numPr>
          <w:ilvl w:val="0"/>
          <w:numId w:val="1"/>
        </w:numPr>
        <w:spacing w:before="0" w:after="0"/>
        <w:jc w:val="left"/>
      </w:pPr>
      <w:hyperlink w:anchor="66473afac49c4c587ff77713d0ab741e">
        <w:r>
          <w:rPr>
            <w:rFonts w:ascii="Times New Roman" w:hAnsi="Times New Roman"/>
            <w:b w:val="false"/>
            <w:i w:val="false"/>
            <w:color w:val="0000ff"/>
            <w:sz w:val="22"/>
            <w:u w:val="single"/>
          </w:rPr>
          <w:t>Ziel und Aufbau der Umfrage</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(5 min)</w:t>
      </w:r>
    </w:p>
    <w:p>
      <w:pPr>
        <w:numPr>
          <w:ilvl w:val="1"/>
          <w:numId w:val="1"/>
        </w:numPr>
        <w:spacing w:before="0" w:after="0"/>
        <w:jc w:val="left"/>
      </w:pPr>
      <w:hyperlink w:anchor="e1aeead95f4a8f4fa8997c4edadbae05">
        <w:r>
          <w:rPr>
            <w:rFonts w:ascii="Times New Roman" w:hAnsi="Times New Roman"/>
            <w:b w:val="false"/>
            <w:i w:val="false"/>
            <w:color w:val="0000ff"/>
            <w:sz w:val="22"/>
            <w:u w:val="single"/>
          </w:rPr>
          <w:t>Zielstellung</w:t>
        </w:r>
      </w:hyperlink>
    </w:p>
    <w:p>
      <w:pPr>
        <w:numPr>
          <w:ilvl w:val="1"/>
          <w:numId w:val="1"/>
        </w:numPr>
        <w:spacing w:before="0" w:after="0"/>
        <w:jc w:val="left"/>
      </w:pPr>
      <w:hyperlink w:anchor="451938c03bfe5ec23d5e3578a9d5c64d">
        <w:r>
          <w:rPr>
            <w:rFonts w:ascii="Times New Roman" w:hAnsi="Times New Roman"/>
            <w:b w:val="false"/>
            <w:i w:val="false"/>
            <w:color w:val="0000ff"/>
            <w:sz w:val="22"/>
            <w:u w:val="single"/>
          </w:rPr>
          <w:t>Aufbau</w:t>
        </w:r>
      </w:hyperlink>
    </w:p>
    <w:p>
      <w:pPr>
        <w:numPr>
          <w:ilvl w:val="1"/>
          <w:numId w:val="1"/>
        </w:numPr>
        <w:spacing w:before="0" w:after="0"/>
        <w:jc w:val="left"/>
      </w:pPr>
      <w:hyperlink w:anchor="f5cc5e7d794c0a5c10c68595f5cd931d">
        <w:r>
          <w:rPr>
            <w:rFonts w:ascii="Times New Roman" w:hAnsi="Times New Roman"/>
            <w:b w:val="false"/>
            <w:i w:val="false"/>
            <w:color w:val="0000ff"/>
            <w:sz w:val="22"/>
            <w:u w:val="single"/>
          </w:rPr>
          <w:t>Adressaten</w:t>
        </w:r>
      </w:hyperlink>
    </w:p>
    <w:p>
      <w:pPr>
        <w:numPr>
          <w:ilvl w:val="1"/>
          <w:numId w:val="1"/>
        </w:numPr>
        <w:spacing w:before="0" w:after="0"/>
        <w:jc w:val="left"/>
      </w:pPr>
      <w:hyperlink w:anchor="dffe34aa13abbdb2630a637c8c7ce083">
        <w:r>
          <w:rPr>
            <w:rFonts w:ascii="Times New Roman" w:hAnsi="Times New Roman"/>
            <w:b w:val="false"/>
            <w:i w:val="false"/>
            <w:color w:val="0000ff"/>
            <w:sz w:val="22"/>
            <w:u w:val="single"/>
          </w:rPr>
          <w:t>Motivation</w:t>
        </w:r>
      </w:hyperlink>
    </w:p>
    <w:p>
      <w:pPr>
        <w:numPr>
          <w:ilvl w:val="0"/>
          <w:numId w:val="1"/>
        </w:numPr>
        <w:spacing w:before="0" w:after="0"/>
        <w:jc w:val="left"/>
      </w:pPr>
      <w:hyperlink w:anchor="ade3b3d1b5642f5d000207ae2a93f96d">
        <w:r>
          <w:rPr>
            <w:rFonts w:ascii="Times New Roman" w:hAnsi="Times New Roman"/>
            <w:b w:val="false"/>
            <w:i w:val="false"/>
            <w:color w:val="0000ff"/>
            <w:sz w:val="22"/>
            <w:u w:val="single"/>
          </w:rPr>
          <w:t>Umsetzung der Umfrage</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(5 min)</w:t>
      </w:r>
    </w:p>
    <w:p>
      <w:pPr>
        <w:numPr>
          <w:ilvl w:val="1"/>
          <w:numId w:val="2"/>
        </w:numPr>
        <w:spacing w:before="0" w:after="0"/>
        <w:jc w:val="left"/>
      </w:pPr>
      <w:hyperlink w:anchor="00df54e918d3ffdd810c953f169ef65d">
        <w:r>
          <w:rPr>
            <w:rFonts w:ascii="Times New Roman" w:hAnsi="Times New Roman"/>
            <w:b w:val="false"/>
            <w:i w:val="false"/>
            <w:color w:val="0000ff"/>
            <w:sz w:val="22"/>
            <w:u w:val="single"/>
          </w:rPr>
          <w:t>Versand</w:t>
        </w:r>
      </w:hyperlink>
    </w:p>
    <w:p>
      <w:pPr>
        <w:numPr>
          <w:ilvl w:val="1"/>
          <w:numId w:val="2"/>
        </w:numPr>
        <w:spacing w:before="0" w:after="0"/>
        <w:jc w:val="left"/>
      </w:pPr>
      <w:hyperlink w:anchor="df29a298667ed337a2bba1b88c6fba68">
        <w:r>
          <w:rPr>
            <w:rFonts w:ascii="Times New Roman" w:hAnsi="Times New Roman"/>
            <w:b w:val="false"/>
            <w:i w:val="false"/>
            <w:color w:val="0000ff"/>
            <w:sz w:val="22"/>
            <w:u w:val="single"/>
          </w:rPr>
          <w:t>Laufzeit</w:t>
        </w:r>
      </w:hyperlink>
    </w:p>
    <w:p>
      <w:pPr>
        <w:numPr>
          <w:ilvl w:val="1"/>
          <w:numId w:val="2"/>
        </w:numPr>
        <w:spacing w:before="0" w:after="0"/>
        <w:jc w:val="left"/>
      </w:pPr>
      <w:hyperlink w:anchor="3bb1c7e9c036f3adb74a267ffea4b8a0">
        <w:r>
          <w:rPr>
            <w:rFonts w:ascii="Times New Roman" w:hAnsi="Times New Roman"/>
            <w:b w:val="false"/>
            <w:i w:val="false"/>
            <w:color w:val="0000ff"/>
            <w:sz w:val="22"/>
            <w:u w:val="single"/>
          </w:rPr>
          <w:t>Rücklauf</w:t>
        </w:r>
      </w:hyperlink>
    </w:p>
    <w:p>
      <w:pPr>
        <w:numPr>
          <w:ilvl w:val="0"/>
          <w:numId w:val="1"/>
        </w:numPr>
        <w:spacing w:before="0" w:after="0"/>
        <w:jc w:val="left"/>
      </w:pPr>
      <w:hyperlink w:anchor="729e36bba844f58ae26ad32254701d17">
        <w:r>
          <w:rPr>
            <w:rFonts w:ascii="Times New Roman" w:hAnsi="Times New Roman"/>
            <w:b w:val="false"/>
            <w:i w:val="false"/>
            <w:color w:val="0000ff"/>
            <w:sz w:val="22"/>
            <w:u w:val="single"/>
          </w:rPr>
          <w:t>Ergebnisse der Umfrage</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(39 min)</w:t>
      </w:r>
    </w:p>
    <w:p>
      <w:pPr>
        <w:numPr>
          <w:ilvl w:val="1"/>
          <w:numId w:val="3"/>
        </w:numPr>
        <w:spacing w:before="0" w:after="0"/>
        <w:jc w:val="left"/>
      </w:pPr>
      <w:hyperlink w:anchor="aeec392df4f4c5bf52b793babf62c9ec">
        <w:r>
          <w:rPr>
            <w:rFonts w:ascii="Times New Roman" w:hAnsi="Times New Roman"/>
            <w:b w:val="false"/>
            <w:i w:val="false"/>
            <w:color w:val="0000ff"/>
            <w:sz w:val="22"/>
            <w:u w:val="single"/>
          </w:rPr>
          <w:t>Grenzen der Umfrageergebnisse</w:t>
        </w:r>
      </w:hyperlink>
    </w:p>
    <w:p>
      <w:pPr>
        <w:numPr>
          <w:ilvl w:val="1"/>
          <w:numId w:val="3"/>
        </w:numPr>
        <w:spacing w:before="0" w:after="0"/>
        <w:jc w:val="left"/>
      </w:pPr>
      <w:hyperlink w:anchor="13ac8ae11851289787549b8df61544f1">
        <w:r>
          <w:rPr>
            <w:rFonts w:ascii="Times New Roman" w:hAnsi="Times New Roman"/>
            <w:b w:val="false"/>
            <w:i w:val="false"/>
            <w:color w:val="0000ff"/>
            <w:sz w:val="22"/>
            <w:u w:val="single"/>
          </w:rPr>
          <w:t>Quantitative und qualitative Ergebnisse</w:t>
        </w:r>
      </w:hyperlink>
    </w:p>
    <w:p>
      <w:pPr>
        <w:numPr>
          <w:ilvl w:val="0"/>
          <w:numId w:val="1"/>
        </w:numPr>
        <w:spacing w:before="0" w:after="0"/>
        <w:jc w:val="left"/>
      </w:pPr>
      <w:hyperlink w:anchor="83ee666e9bff1d46542546edd0f3c713">
        <w:r>
          <w:rPr>
            <w:rFonts w:ascii="Times New Roman" w:hAnsi="Times New Roman"/>
            <w:b w:val="false"/>
            <w:i w:val="false"/>
            <w:color w:val="0000ff"/>
            <w:sz w:val="22"/>
            <w:u w:val="single"/>
          </w:rPr>
          <w:t>Fazit und Ausblick</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(10 min)</w:t>
      </w:r>
    </w:p>
    <w:p>
      <w:pPr>
        <w:numPr>
          <w:ilvl w:val="1"/>
          <w:numId w:val="4"/>
        </w:numPr>
        <w:spacing w:before="0" w:after="0"/>
        <w:jc w:val="left"/>
      </w:pPr>
      <w:hyperlink w:anchor="c4878e8a310eb5e86b2cbcf949f6a7f5">
        <w:r>
          <w:rPr>
            <w:rFonts w:ascii="Times New Roman" w:hAnsi="Times New Roman"/>
            <w:b w:val="false"/>
            <w:i w:val="false"/>
            <w:color w:val="0000ff"/>
            <w:sz w:val="22"/>
            <w:u w:val="single"/>
          </w:rPr>
          <w:t>Fazit zur Umfrage</w:t>
        </w:r>
      </w:hyperlink>
    </w:p>
    <w:p>
      <w:pPr>
        <w:numPr>
          <w:ilvl w:val="1"/>
          <w:numId w:val="4"/>
        </w:numPr>
        <w:spacing w:before="0" w:after="0"/>
        <w:jc w:val="left"/>
      </w:pPr>
      <w:hyperlink w:anchor="530894bcd2ec2ccc031bd5e389595d8d">
        <w:r>
          <w:rPr>
            <w:rFonts w:ascii="Times New Roman" w:hAnsi="Times New Roman"/>
            <w:b w:val="false"/>
            <w:i w:val="false"/>
            <w:color w:val="0000ff"/>
            <w:sz w:val="22"/>
            <w:u w:val="single"/>
          </w:rPr>
          <w:t>Empfehlung für Hochschulen</w:t>
        </w:r>
      </w:hyperlink>
    </w:p>
    <w:p>
      <w:pPr>
        <w:numPr>
          <w:ilvl w:val="1"/>
          <w:numId w:val="4"/>
        </w:numPr>
        <w:spacing w:before="0" w:after="0"/>
        <w:jc w:val="left"/>
      </w:pPr>
      <w:hyperlink w:anchor="529427b9b70657bdc278bddf0d838c76">
        <w:r>
          <w:rPr>
            <w:rFonts w:ascii="Times New Roman" w:hAnsi="Times New Roman"/>
            <w:b w:val="false"/>
            <w:i w:val="false"/>
            <w:color w:val="0000ff"/>
            <w:sz w:val="22"/>
            <w:u w:val="single"/>
          </w:rPr>
          <w:t>Ausblick</w:t>
        </w:r>
      </w:hyperlink>
    </w:p>
    <w:p>
      <w:pPr>
        <w:numPr>
          <w:ilvl w:val="0"/>
          <w:numId w:val="1"/>
        </w:numPr>
        <w:spacing w:before="0" w:after="0"/>
        <w:jc w:val="left"/>
      </w:pPr>
      <w:hyperlink w:anchor="c4bbdca65f470a147a219334a2e22624">
        <w:r>
          <w:rPr>
            <w:rFonts w:ascii="Times New Roman" w:hAnsi="Times New Roman"/>
            <w:b w:val="false"/>
            <w:i w:val="false"/>
            <w:color w:val="0000ff"/>
            <w:sz w:val="22"/>
            <w:u w:val="single"/>
          </w:rPr>
          <w:t>Anhang A: Fragenliste zur Umfrage</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(7 min)</w:t>
      </w:r>
    </w:p>
    <w:p>
      <w:pPr>
        <w:numPr>
          <w:ilvl w:val="1"/>
          <w:numId w:val="5"/>
        </w:numPr>
        <w:spacing w:before="0" w:after="0"/>
        <w:jc w:val="left"/>
      </w:pPr>
      <w:hyperlink w:anchor="04a564be5bd60e20eabc82efea334fe4">
        <w:r>
          <w:rPr>
            <w:rFonts w:ascii="Times New Roman" w:hAnsi="Times New Roman"/>
            <w:b w:val="false"/>
            <w:i w:val="false"/>
            <w:color w:val="0000ff"/>
            <w:sz w:val="22"/>
            <w:u w:val="single"/>
          </w:rPr>
          <w:t>Themenbereich: Allgemeine Fragen</w:t>
        </w:r>
      </w:hyperlink>
    </w:p>
    <w:p>
      <w:pPr>
        <w:numPr>
          <w:ilvl w:val="1"/>
          <w:numId w:val="5"/>
        </w:numPr>
        <w:spacing w:before="0" w:after="0"/>
        <w:jc w:val="left"/>
      </w:pPr>
      <w:hyperlink w:anchor="3fc4dddaec30c862df55d177e165323d">
        <w:r>
          <w:rPr>
            <w:rFonts w:ascii="Times New Roman" w:hAnsi="Times New Roman"/>
            <w:b w:val="false"/>
            <w:i w:val="false"/>
            <w:color w:val="0000ff"/>
            <w:sz w:val="22"/>
            <w:u w:val="single"/>
          </w:rPr>
          <w:t>Themenbereich: Sicht auf Hochschulen</w:t>
        </w:r>
      </w:hyperlink>
    </w:p>
    <w:p>
      <w:pPr>
        <w:numPr>
          <w:ilvl w:val="1"/>
          <w:numId w:val="5"/>
        </w:numPr>
        <w:spacing w:before="0" w:after="0"/>
        <w:jc w:val="left"/>
      </w:pPr>
      <w:hyperlink w:anchor="2edb7edef95af0a26d3b26cf206606d4">
        <w:r>
          <w:rPr>
            <w:rFonts w:ascii="Times New Roman" w:hAnsi="Times New Roman"/>
            <w:b w:val="false"/>
            <w:i w:val="false"/>
            <w:color w:val="0000ff"/>
            <w:sz w:val="22"/>
            <w:u w:val="single"/>
          </w:rPr>
          <w:t>Themenbereich: Sicht auf Studierende</w:t>
        </w:r>
      </w:hyperlink>
    </w:p>
    <w:p>
      <w:pPr>
        <w:numPr>
          <w:ilvl w:val="1"/>
          <w:numId w:val="5"/>
        </w:numPr>
        <w:spacing w:before="0" w:after="0"/>
        <w:jc w:val="left"/>
      </w:pPr>
      <w:hyperlink w:anchor="967ca35302b70985429dcdcefeb2c61a">
        <w:r>
          <w:rPr>
            <w:rFonts w:ascii="Times New Roman" w:hAnsi="Times New Roman"/>
            <w:b w:val="false"/>
            <w:i w:val="false"/>
            <w:color w:val="0000ff"/>
            <w:sz w:val="22"/>
            <w:u w:val="single"/>
          </w:rPr>
          <w:t>Themenbereich: Sicht auf Prozesse</w:t>
        </w:r>
      </w:hyperlink>
    </w:p>
    <w:p>
      <w:pPr>
        <w:numPr>
          <w:ilvl w:val="0"/>
          <w:numId w:val="1"/>
        </w:numPr>
        <w:spacing w:before="0" w:after="0"/>
        <w:jc w:val="left"/>
      </w:pPr>
      <w:hyperlink w:anchor="f78d7f04bba37339c1d073302c3a4e06">
        <w:r>
          <w:rPr>
            <w:rFonts w:ascii="Times New Roman" w:hAnsi="Times New Roman"/>
            <w:b w:val="false"/>
            <w:i w:val="false"/>
            <w:color w:val="0000ff"/>
            <w:sz w:val="22"/>
            <w:u w:val="single"/>
          </w:rPr>
          <w:t>Anhang B: Nachweise und weiterführende Informationen</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(3 min)</w:t>
      </w:r>
    </w:p>
    <w:p>
      <w:pPr>
        <w:numPr>
          <w:ilvl w:val="0"/>
          <w:numId w:val="1"/>
        </w:numPr>
        <w:spacing w:before="0" w:after="0"/>
        <w:jc w:val="left"/>
      </w:pPr>
      <w:hyperlink w:anchor="0c8a60377ac078bd19988fb491f13140">
        <w:r>
          <w:rPr>
            <w:rFonts w:ascii="Times New Roman" w:hAnsi="Times New Roman"/>
            <w:b w:val="false"/>
            <w:i w:val="false"/>
            <w:color w:val="0000ff"/>
            <w:sz w:val="22"/>
            <w:u w:val="single"/>
          </w:rPr>
          <w:t>Anhang C: Mitwirkende dieser Publikation</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(2 min)</w:t>
      </w:r>
    </w:p>
    <w:p>
      <w:pPr>
        <w:numPr>
          <w:ilvl w:val="0"/>
          <w:numId w:val="1"/>
        </w:numPr>
        <w:spacing w:before="0" w:after="0"/>
        <w:jc w:val="left"/>
      </w:pPr>
      <w:hyperlink w:anchor="96a8fb37e75820f8ca4f1df9a5f14ca7">
        <w:r>
          <w:rPr>
            <w:rFonts w:ascii="Times New Roman" w:hAnsi="Times New Roman"/>
            <w:b w:val="false"/>
            <w:i w:val="false"/>
            <w:color w:val="0000ff"/>
            <w:sz w:val="22"/>
            <w:u w:val="single"/>
          </w:rPr>
          <w:t>Anhang D: Lizenzinformationen für diese Handreichung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(1 min)</w:t>
      </w:r>
    </w:p>
    <w:bookmarkEnd w:id="1"/>
    <w:bookmarkStart w:name="aa1cd04f104bc1f7346cdcf2e6a506be" w:id="2"/>
    <w:p>
      <w:pPr>
        <w:pStyle w:val="Heading1"/>
        <w:spacing w:before="180" w:after="180"/>
        <w:ind w:left="120"/>
        <w:jc w:val="left"/>
      </w:pPr>
      <w:r>
        <w:rPr>
          <w:rFonts w:ascii="Times New Roman" w:hAnsi="Times New Roman"/>
          <w:color w:val="000000"/>
          <w:sz w:val="33"/>
        </w:rPr>
        <w:t>Einleitung und Motivation</w:t>
      </w:r>
    </w:p>
    <w:bookmarkEnd w:id="2"/>
    <w:p>
      <w:pPr>
        <w:spacing w:before="269" w:after="269"/>
        <w:ind w:left="120"/>
        <w:jc w:val="left"/>
      </w:pPr>
      <w:hyperlink r:id="rId6">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 xml:space="preserve">Die Nutzung von Informationstechnologien wie Smartphones, Tablets, Apps und dem Internet ist heute ein unverzichtbarer Bestandteil des Alltags. (Quelle: </w:t>
      </w:r>
      <w:hyperlink r:id="rId7">
        <w:r>
          <w:rPr>
            <w:rFonts w:ascii="Times New Roman" w:hAnsi="Times New Roman"/>
            <w:b w:val="false"/>
            <w:i w:val="false"/>
            <w:color w:val="0000ff"/>
            <w:sz w:val="22"/>
            <w:u w:val="single"/>
          </w:rPr>
          <w:t>Portal Barrierefreiheit der Dienstekonsolidierung des Bundes. Portal Barrierefreiheit - Gesetze und Richtlinien</w:t>
        </w:r>
      </w:hyperlink>
      <w:r>
        <w:rPr>
          <w:rFonts w:ascii="Times New Roman" w:hAnsi="Times New Roman"/>
          <w:b w:val="false"/>
          <w:i w:val="false"/>
          <w:color w:val="000000"/>
          <w:sz w:val="22"/>
        </w:rPr>
        <w:t xml:space="preserve">) aus dem Studienalltag sind diese Technologien für Studierende nicht mehr wegzudenken. Smartphones, Tablets, Apps und das Internet sind entscheidend für den Zugang zu Lernmaterialien, die Kommunikation mit Dozierenden und Kommilitonen sowie für die Organisation des Studienalltags. Eine barrierefreie Gestaltung von IT-Lösungen und digitalen Inhalten ist für Studierende daher von großer Bedeutung. Sie ermöglicht nicht nur Personen mit Beeinträchtigungen einen einfachen Zugang zu diesen Technologien, sondern verbessert auch für alle anderen Studierenden die Struktur und Nutzungsfreundlichkeit. (Quelle: </w:t>
      </w:r>
      <w:hyperlink r:id="rId8">
        <w:r>
          <w:rPr>
            <w:rFonts w:ascii="Times New Roman" w:hAnsi="Times New Roman"/>
            <w:b w:val="false"/>
            <w:i w:val="false"/>
            <w:color w:val="0000ff"/>
            <w:sz w:val="22"/>
            <w:u w:val="single"/>
          </w:rPr>
          <w:t>Überwachungsstelle des Bundes für Barrierefreiheit von Informationstechnik. Leitfaden zum Vergabeprozess: Rahmenbedingungen für die Beschaffung und Vergabe von IT-Lösungen für öffentliche Stellen am Beispiel der Hochschulen</w:t>
        </w:r>
      </w:hyperlink>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Eine intuitive und zugängliche digitale Umgebung fördert die Lernmotivation und erleichtert das Verständnis komplexer Inhalte, was letztlich zu einem effektiveren Lernprozess führt. Daher sollten Hochschulen und Bildungseinrichtungen verstärkt auf barrierefreie IT-Lösungen setzen, um allen Studierenden die bestmöglichen Lernbedingungen zu bieten.</w:t>
      </w:r>
    </w:p>
    <w:p>
      <w:pPr>
        <w:spacing w:before="269" w:after="269"/>
        <w:ind w:left="120"/>
        <w:jc w:val="left"/>
      </w:pPr>
      <w:r>
        <w:rPr>
          <w:rFonts w:ascii="Times New Roman" w:hAnsi="Times New Roman"/>
          <w:b w:val="false"/>
          <w:i w:val="false"/>
          <w:color w:val="000000"/>
          <w:sz w:val="22"/>
        </w:rPr>
        <w:t>Mit der EU-Richtlinie 2016/2102 und den deutschen Bundes- und Landesgesetzen, wie zum Beispiel dem Behindertengleichstellungsgesetz (</w:t>
      </w:r>
      <w:hyperlink r:id="rId9">
        <w:r>
          <w:rPr>
            <w:rFonts w:ascii="Times New Roman" w:hAnsi="Times New Roman"/>
            <w:b w:val="false"/>
            <w:i w:val="false"/>
            <w:color w:val="0000ff"/>
            <w:sz w:val="22"/>
            <w:u w:val="single"/>
          </w:rPr>
          <w:t>BGG</w:t>
        </w:r>
      </w:hyperlink>
      <w:r>
        <w:rPr>
          <w:rFonts w:ascii="Times New Roman" w:hAnsi="Times New Roman"/>
          <w:b w:val="false"/>
          <w:i w:val="false"/>
          <w:color w:val="000000"/>
          <w:sz w:val="22"/>
        </w:rPr>
        <w:t>) und der Barrierefreie-Informationstechnik-Verordnung (</w:t>
      </w:r>
      <w:hyperlink r:id="rId10">
        <w:r>
          <w:rPr>
            <w:rFonts w:ascii="Times New Roman" w:hAnsi="Times New Roman"/>
            <w:b w:val="false"/>
            <w:i w:val="false"/>
            <w:color w:val="0000ff"/>
            <w:sz w:val="22"/>
            <w:u w:val="single"/>
          </w:rPr>
          <w:t>BITV</w:t>
        </w:r>
      </w:hyperlink>
      <w:r>
        <w:rPr>
          <w:rFonts w:ascii="Times New Roman" w:hAnsi="Times New Roman"/>
          <w:b w:val="false"/>
          <w:i w:val="false"/>
          <w:color w:val="000000"/>
          <w:sz w:val="22"/>
        </w:rPr>
        <w:t xml:space="preserve">), ist Barrierefreiheit gesetzlich vorgeschrieben. Öffentliche Stellen sind somit verpflichtet, ihre IT-Lösungen und digitalen Angebote, Webseiten und Apps barrierefrei zu gestalten. Folglich betrifft dies auch alle staatlichen Hochschulen in Deutschland, die die Vorgaben zur digitalen Barrierefreiheit einhalten und umsetzen müssen. (Quelle: </w:t>
      </w:r>
      <w:hyperlink r:id="rId11">
        <w:r>
          <w:rPr>
            <w:rFonts w:ascii="Times New Roman" w:hAnsi="Times New Roman"/>
            <w:b w:val="false"/>
            <w:i w:val="false"/>
            <w:color w:val="0000ff"/>
            <w:sz w:val="22"/>
            <w:u w:val="single"/>
          </w:rPr>
          <w:t>Überwachungsstelle des Bundes für Barrierefreiheit von Informationstechnik. Leitfaden zum Vergabeprozess: Rahmenbedingungen für die Beschaffung und Vergabe von IT-Lösungen für öffentliche Stellen am Beispiel der Hochschulen</w:t>
        </w:r>
      </w:hyperlink>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 xml:space="preserve">Um die deutschen Hochschulen bei der Gestaltung und Umsetzung der Barrierefreiheit ihrer IT-Lösungen und digitalen Inhalte zu unterstützen und allen Studierenden einen gleichberechtigten Zugang zur akademischen Lehre zu ermöglichen, wurde die AG Barrierefreie Hochschulen ins Leben gerufen. Diese Initiative wurde vom Ausschuss für barrierefreie Informationstechnik gemäß § 5 der BITV 2.0 gegründet. (Quelle: </w:t>
      </w:r>
      <w:hyperlink r:id="rId12">
        <w:r>
          <w:rPr>
            <w:rFonts w:ascii="Times New Roman" w:hAnsi="Times New Roman"/>
            <w:b w:val="false"/>
            <w:i w:val="false"/>
            <w:color w:val="0000ff"/>
            <w:sz w:val="22"/>
            <w:u w:val="single"/>
          </w:rPr>
          <w:t>Überwachungsstelle des Bundes für Barrierefreiheit von Informationstechnik. Arbeitsgruppen des Ausschusses für barrierefreie Informationstechnik</w:t>
        </w:r>
      </w:hyperlink>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Der Ausschuss für barrierefreie Informationstechnik ist ein Gremium der Überwachungsstelle des Bundes. In diesem Gremium arbeiten Fachleute aus verschiedenen Bereichen zusammen, um digitale Barrierefreiheit zu fördern. Dazu zählen Menschen mit Beeinträchtigungen, IT-Mitarbeitende von Bund und Ländern, Forschende und Lehrende an Hochschulen sowie Mitarbeitende führender IT-Unternehmen und Fachverbände der Sozialwirtschaft. Das Ziel des Ausschusses ist es, digitale Barrierefreiheit verständlich und ihre Vorteile für alle nutzbar zu machen. (Quelle:</w:t>
      </w:r>
      <w:hyperlink r:id="rId13">
        <w:r>
          <w:rPr>
            <w:rFonts w:ascii="Times New Roman" w:hAnsi="Times New Roman"/>
            <w:b w:val="false"/>
            <w:i w:val="false"/>
            <w:color w:val="0000ff"/>
            <w:sz w:val="22"/>
            <w:u w:val="single"/>
          </w:rPr>
          <w:t>Überwachungsstelle des Bundes für Barrierefreiheit von Informationstechnik. Ausschuss für barrierefreie Informationstechnik</w:t>
        </w:r>
      </w:hyperlink>
      <w:r>
        <w:rPr>
          <w:rFonts w:ascii="Times New Roman" w:hAnsi="Times New Roman"/>
          <w:b w:val="false"/>
          <w:i w:val="false"/>
          <w:color w:val="000000"/>
          <w:sz w:val="22"/>
        </w:rPr>
        <w:t>)</w:t>
      </w:r>
    </w:p>
    <w:bookmarkStart w:name="66473afac49c4c587ff77713d0ab741e" w:id="3"/>
    <w:p>
      <w:pPr>
        <w:pStyle w:val="Heading1"/>
        <w:spacing w:before="180" w:after="180"/>
        <w:ind w:left="120"/>
        <w:jc w:val="left"/>
      </w:pPr>
      <w:r>
        <w:rPr>
          <w:rFonts w:ascii="Times New Roman" w:hAnsi="Times New Roman"/>
          <w:color w:val="000000"/>
          <w:sz w:val="33"/>
        </w:rPr>
        <w:t>Ziel und Aufbau der Umfrage</w:t>
      </w:r>
    </w:p>
    <w:bookmarkEnd w:id="3"/>
    <w:p>
      <w:pPr>
        <w:spacing w:before="269" w:after="269"/>
        <w:ind w:left="120"/>
        <w:jc w:val="left"/>
      </w:pPr>
      <w:hyperlink r:id="rId14">
        <w:r>
          <w:rPr>
            <w:rFonts w:ascii="Times New Roman" w:hAnsi="Times New Roman"/>
            <w:b w:val="false"/>
            <w:i w:val="false"/>
            <w:color w:val="0000ff"/>
            <w:sz w:val="22"/>
            <w:u w:val="single"/>
          </w:rPr>
          <w:t>Online betrachten</w:t>
        </w:r>
      </w:hyperlink>
    </w:p>
    <w:bookmarkStart w:name="e1aeead95f4a8f4fa8997c4edadbae05" w:id="4"/>
    <w:p>
      <w:pPr>
        <w:pStyle w:val="Heading2"/>
        <w:spacing w:before="199" w:after="199"/>
        <w:ind w:left="120"/>
        <w:jc w:val="left"/>
      </w:pPr>
      <w:r>
        <w:rPr>
          <w:rFonts w:ascii="Times New Roman" w:hAnsi="Times New Roman"/>
          <w:color w:val="000000"/>
        </w:rPr>
        <w:t>Zielstellung</w:t>
      </w:r>
    </w:p>
    <w:bookmarkEnd w:id="4"/>
    <w:p>
      <w:pPr>
        <w:spacing w:before="269" w:after="269"/>
        <w:ind w:left="120"/>
        <w:jc w:val="left"/>
      </w:pPr>
      <w:r>
        <w:rPr>
          <w:rFonts w:ascii="Times New Roman" w:hAnsi="Times New Roman"/>
          <w:b w:val="false"/>
          <w:i w:val="false"/>
          <w:color w:val="000000"/>
          <w:sz w:val="22"/>
        </w:rPr>
        <w:t>Im Rahmen der AG-Tätigkeit wurde von April bis Juli 2024 eine Umfrage zur Ermittlung des aktuellen Stands der digitalen Barrierefreiheit an öffentlich-rechtlichen Hochschulen in Deutschland durchgeführt. Das Ziel der Umfrage war es, einen Überblick über die Verankerung des Themas an den Hochschulen zu gewinnen, Best Practices zur Umsetzung digitaler Barrierefreiheit an Hochschulen zusammenzutragen und Bereiche mit Optimierungspotenzial zu identifizieren. Auf Grundlage der Ergebnisse sollen allgemeine Anregungen abgeleitet werden, die den Hochschulen Impulse zur Stärkung der digitalen Barrierefreiheit an ihrer Institution bieten.</w:t>
      </w:r>
    </w:p>
    <w:bookmarkStart w:name="451938c03bfe5ec23d5e3578a9d5c64d" w:id="5"/>
    <w:p>
      <w:pPr>
        <w:pStyle w:val="Heading2"/>
        <w:spacing w:before="199" w:after="199"/>
        <w:ind w:left="120"/>
        <w:jc w:val="left"/>
      </w:pPr>
      <w:r>
        <w:rPr>
          <w:rFonts w:ascii="Times New Roman" w:hAnsi="Times New Roman"/>
          <w:color w:val="000000"/>
        </w:rPr>
        <w:t>Aufbau</w:t>
      </w:r>
    </w:p>
    <w:bookmarkEnd w:id="5"/>
    <w:p>
      <w:pPr>
        <w:spacing w:before="269" w:after="269"/>
        <w:ind w:left="120"/>
        <w:jc w:val="left"/>
      </w:pPr>
      <w:r>
        <w:rPr>
          <w:rFonts w:ascii="Times New Roman" w:hAnsi="Times New Roman"/>
          <w:b w:val="false"/>
          <w:i w:val="false"/>
          <w:color w:val="000000"/>
          <w:sz w:val="22"/>
        </w:rPr>
        <w:t xml:space="preserve">Die Umfrage wurde als Online-Umfrage konzipiert und mit dem Umfrage-Tool </w:t>
      </w:r>
      <w:r>
        <w:rPr>
          <w:rFonts w:ascii="Times New Roman" w:hAnsi="Times New Roman"/>
          <w:b w:val="false"/>
          <w:i/>
          <w:color w:val="000000"/>
          <w:sz w:val="22"/>
        </w:rPr>
        <w:t>SoSci-Survey</w:t>
      </w:r>
      <w:r>
        <w:rPr>
          <w:rFonts w:ascii="Times New Roman" w:hAnsi="Times New Roman"/>
          <w:b w:val="false"/>
          <w:i w:val="false"/>
          <w:color w:val="000000"/>
          <w:sz w:val="22"/>
        </w:rPr>
        <w:t xml:space="preserve"> erstellt. Sie umfasste 41 Fragen, darunter 19 offene Fragen mit freier Antwortmöglichkeit und 22 Auswahlfragen mit vorgegebenen Antwortmöglichkeiten (20 mit Einfachauswahl und 2 mit Mehrfachauswahl). Ein Teil der Fragen wurde dabei aufbauend, als Filterfragen, angelegt. Das heißt, die offenen Fragen dienten überwiegend dazu, die Antworten der Auswahlfragen zu konkretisieren.</w:t>
      </w:r>
    </w:p>
    <w:p>
      <w:pPr>
        <w:spacing w:before="269" w:after="269"/>
        <w:ind w:left="120"/>
        <w:jc w:val="left"/>
      </w:pPr>
      <w:r>
        <w:rPr>
          <w:rFonts w:ascii="Times New Roman" w:hAnsi="Times New Roman"/>
          <w:b w:val="false"/>
          <w:i w:val="false"/>
          <w:color w:val="000000"/>
          <w:sz w:val="22"/>
        </w:rPr>
        <w:t>Inhaltlich wurden die Fragen in vier Themenbereiche gegliedert, um die unterschiedlichen Perspektiven verschiedener Akteure und Akteurinnen zu erfassen. Diese vier Bereiche waren:</w:t>
      </w:r>
    </w:p>
    <w:p>
      <w:pPr>
        <w:numPr>
          <w:ilvl w:val="0"/>
          <w:numId w:val="6"/>
        </w:numPr>
        <w:spacing w:before="0" w:after="0"/>
        <w:jc w:val="left"/>
      </w:pPr>
      <w:r>
        <w:rPr>
          <w:rFonts w:ascii="Times New Roman" w:hAnsi="Times New Roman"/>
          <w:b w:val="false"/>
          <w:i w:val="false"/>
          <w:color w:val="000000"/>
          <w:sz w:val="22"/>
        </w:rPr>
        <w:t>Allgemeine Angaben: Fragen zur Hochschule und zur ausfüllenden Person,</w:t>
      </w:r>
    </w:p>
    <w:p>
      <w:pPr>
        <w:numPr>
          <w:ilvl w:val="0"/>
          <w:numId w:val="6"/>
        </w:numPr>
        <w:spacing w:before="0" w:after="0"/>
        <w:jc w:val="left"/>
      </w:pPr>
      <w:r>
        <w:rPr>
          <w:rFonts w:ascii="Times New Roman" w:hAnsi="Times New Roman"/>
          <w:b w:val="false"/>
          <w:i w:val="false"/>
          <w:color w:val="000000"/>
          <w:sz w:val="22"/>
        </w:rPr>
        <w:t>Sicht auf Hochschulen: Fragen zur Zuständigkeit, einschließlich der Gremien, Institutionen, Organisationsstrukturen und Forschungsinitiativen, die sich mit digitaler Barrierefreiheit befassen,</w:t>
      </w:r>
    </w:p>
    <w:p>
      <w:pPr>
        <w:numPr>
          <w:ilvl w:val="0"/>
          <w:numId w:val="6"/>
        </w:numPr>
        <w:spacing w:before="0" w:after="0"/>
        <w:jc w:val="left"/>
      </w:pPr>
      <w:r>
        <w:rPr>
          <w:rFonts w:ascii="Times New Roman" w:hAnsi="Times New Roman"/>
          <w:b w:val="false"/>
          <w:i w:val="false"/>
          <w:color w:val="000000"/>
          <w:sz w:val="22"/>
        </w:rPr>
        <w:t>Sicht auf Studierende: Fragen zur Ausstattung der Studierenden mit technischen Hilfsmitteln und Software, zum Nachteilsausgleich bei Prüfungen sowie zur barrierefreien Bereitstellung von Studienmaterialien,</w:t>
      </w:r>
    </w:p>
    <w:p>
      <w:pPr>
        <w:numPr>
          <w:ilvl w:val="0"/>
          <w:numId w:val="6"/>
        </w:numPr>
        <w:spacing w:before="0" w:after="0"/>
        <w:jc w:val="left"/>
      </w:pPr>
      <w:r>
        <w:rPr>
          <w:rFonts w:ascii="Times New Roman" w:hAnsi="Times New Roman"/>
          <w:b w:val="false"/>
          <w:i w:val="false"/>
          <w:color w:val="000000"/>
          <w:sz w:val="22"/>
        </w:rPr>
        <w:t>Sicht auf Prozesse: Fragen zu internen Angeboten für Weiterbildung, Unterstützung und Ausstattung der Lehrenden, zur Vernetzung mit anderen Hochschulen sowie zur Prüfung, Beschaffung, Pflege und Aktualisierung digitaler Angebote, IT-Lösungen, Hardware und Software</w:t>
      </w:r>
    </w:p>
    <w:p>
      <w:pPr>
        <w:spacing w:before="269" w:after="269"/>
        <w:ind w:left="120"/>
        <w:jc w:val="left"/>
      </w:pPr>
      <w:r>
        <w:rPr>
          <w:rFonts w:ascii="Times New Roman" w:hAnsi="Times New Roman"/>
          <w:b w:val="false"/>
          <w:i w:val="false"/>
          <w:color w:val="000000"/>
          <w:sz w:val="22"/>
        </w:rPr>
        <w:t>Eine Übersicht aller Fragen findet sich im Anhang (</w:t>
      </w:r>
      <w:hyperlink w:anchor="c4bbdca65f470a147a219334a2e22624">
        <w:r>
          <w:rPr>
            <w:rFonts w:ascii="Times New Roman" w:hAnsi="Times New Roman"/>
            <w:b w:val="false"/>
            <w:i w:val="false"/>
            <w:color w:val="0000ff"/>
            <w:sz w:val="22"/>
            <w:u w:val="single"/>
          </w:rPr>
          <w:t>Anhang A: Fragenliste zur Umfrage</w:t>
        </w:r>
      </w:hyperlink>
      <w:r>
        <w:rPr>
          <w:rFonts w:ascii="Times New Roman" w:hAnsi="Times New Roman"/>
          <w:b w:val="false"/>
          <w:i w:val="false"/>
          <w:color w:val="000000"/>
          <w:sz w:val="22"/>
        </w:rPr>
        <w:t>).</w:t>
      </w:r>
    </w:p>
    <w:bookmarkStart w:name="f5cc5e7d794c0a5c10c68595f5cd931d" w:id="6"/>
    <w:p>
      <w:pPr>
        <w:pStyle w:val="Heading2"/>
        <w:spacing w:before="199" w:after="199"/>
        <w:ind w:left="120"/>
        <w:jc w:val="left"/>
      </w:pPr>
      <w:r>
        <w:rPr>
          <w:rFonts w:ascii="Times New Roman" w:hAnsi="Times New Roman"/>
          <w:color w:val="000000"/>
        </w:rPr>
        <w:t>Adressaten</w:t>
      </w:r>
    </w:p>
    <w:bookmarkEnd w:id="6"/>
    <w:p>
      <w:pPr>
        <w:spacing w:before="269" w:after="269"/>
        <w:ind w:left="120"/>
        <w:jc w:val="left"/>
      </w:pPr>
      <w:r>
        <w:rPr>
          <w:rFonts w:ascii="Times New Roman" w:hAnsi="Times New Roman"/>
          <w:b w:val="false"/>
          <w:i w:val="false"/>
          <w:color w:val="000000"/>
          <w:sz w:val="22"/>
        </w:rPr>
        <w:t xml:space="preserve">Zur Zielgruppe der Umfrage gehörten in erster Linie die staatlichen (öffentlich-rechtlichen) Hochschulen in Deutschland. Die genaue Anzahl der Hochschulen zum Umfragezeitpunkt (Sommersemester 2024) ist nicht bekannt. Im Wintersemester 2023/24 gab es laut Zahlen des Statistischen Bundesamtes insgesamt 428 Hochschulen in Deutschland, darunter knapp zwei Drittel staatliche Hochschulen. (Quellen: </w:t>
      </w:r>
      <w:hyperlink r:id="rId15">
        <w:r>
          <w:rPr>
            <w:rFonts w:ascii="Times New Roman" w:hAnsi="Times New Roman"/>
            <w:b w:val="false"/>
            <w:i w:val="false"/>
            <w:color w:val="0000ff"/>
            <w:sz w:val="22"/>
            <w:u w:val="single"/>
          </w:rPr>
          <w:t>Portal Destatis des Statistischen Bundesamtes. Hochschulen nach Hochschularten</w:t>
        </w:r>
      </w:hyperlink>
      <w:r>
        <w:rPr>
          <w:rFonts w:ascii="Times New Roman" w:hAnsi="Times New Roman"/>
          <w:b w:val="false"/>
          <w:i w:val="false"/>
          <w:color w:val="000000"/>
          <w:sz w:val="22"/>
        </w:rPr>
        <w:t xml:space="preserve">, </w:t>
      </w:r>
      <w:hyperlink r:id="rId16">
        <w:r>
          <w:rPr>
            <w:rFonts w:ascii="Times New Roman" w:hAnsi="Times New Roman"/>
            <w:b w:val="false"/>
            <w:i w:val="false"/>
            <w:color w:val="0000ff"/>
            <w:sz w:val="22"/>
            <w:u w:val="single"/>
          </w:rPr>
          <w:t>Datenportal des BMFTR. Tabelle 2.5.1 Hochschulen nach Hochschularten und Ländern</w:t>
        </w:r>
      </w:hyperlink>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Die Beantwortung der Umfrage sollte in den Hochschulen durch eine oder mehrere der im Folgenden genannten Akteure oder Akteurinnen erfolgen, da diese eine entscheidende Rolle bei der Erfassung und Beantwortung relevanter Fragen zur digitalen Barrierefreiheit an Hochschulen spielen und somit als potenziell auskunftsfähige Personen zu den unterschiedlichen Themenbereichen in Frage kommen:</w:t>
      </w:r>
    </w:p>
    <w:p>
      <w:pPr>
        <w:numPr>
          <w:ilvl w:val="0"/>
          <w:numId w:val="7"/>
        </w:numPr>
        <w:spacing w:before="0" w:after="0"/>
        <w:jc w:val="left"/>
      </w:pPr>
      <w:r>
        <w:rPr>
          <w:rFonts w:ascii="Times New Roman" w:hAnsi="Times New Roman"/>
          <w:b w:val="false"/>
          <w:i w:val="false"/>
          <w:color w:val="000000"/>
          <w:sz w:val="22"/>
        </w:rPr>
        <w:t>Beauftragte, Koordinatoren und Koordinatorinnen oder Beratende für die Belange von Studierenden mit Behinderungen oder chronischen Krankheiten</w:t>
      </w:r>
    </w:p>
    <w:p>
      <w:pPr>
        <w:numPr>
          <w:ilvl w:val="0"/>
          <w:numId w:val="7"/>
        </w:numPr>
        <w:spacing w:before="0" w:after="0"/>
        <w:jc w:val="left"/>
      </w:pPr>
      <w:r>
        <w:rPr>
          <w:rFonts w:ascii="Times New Roman" w:hAnsi="Times New Roman"/>
          <w:b w:val="false"/>
          <w:i w:val="false"/>
          <w:color w:val="000000"/>
          <w:sz w:val="22"/>
        </w:rPr>
        <w:t>Inklusions- bzw. Diversity-Beauftragte der Hochschulen</w:t>
      </w:r>
    </w:p>
    <w:p>
      <w:pPr>
        <w:numPr>
          <w:ilvl w:val="0"/>
          <w:numId w:val="7"/>
        </w:numPr>
        <w:spacing w:before="0" w:after="0"/>
        <w:jc w:val="left"/>
      </w:pPr>
      <w:r>
        <w:rPr>
          <w:rFonts w:ascii="Times New Roman" w:hAnsi="Times New Roman"/>
          <w:b w:val="false"/>
          <w:i w:val="false"/>
          <w:color w:val="000000"/>
          <w:sz w:val="22"/>
        </w:rPr>
        <w:t>Beauftragte oder Koordinatoren und Koordinatorinnen für digitale Barrierefreiheit und assistive Technologien</w:t>
      </w:r>
    </w:p>
    <w:p>
      <w:pPr>
        <w:numPr>
          <w:ilvl w:val="0"/>
          <w:numId w:val="7"/>
        </w:numPr>
        <w:spacing w:before="0" w:after="0"/>
        <w:jc w:val="left"/>
      </w:pPr>
      <w:r>
        <w:rPr>
          <w:rFonts w:ascii="Times New Roman" w:hAnsi="Times New Roman"/>
          <w:b w:val="false"/>
          <w:i w:val="false"/>
          <w:color w:val="000000"/>
          <w:sz w:val="22"/>
        </w:rPr>
        <w:t>Referate der allgemeinen Studierendenausschüsse, Studierendenräte etc. zum Thema „Inklusion / Antidiskriminierung"</w:t>
      </w:r>
    </w:p>
    <w:p>
      <w:pPr>
        <w:numPr>
          <w:ilvl w:val="0"/>
          <w:numId w:val="7"/>
        </w:numPr>
        <w:spacing w:before="0" w:after="0"/>
        <w:jc w:val="left"/>
      </w:pPr>
      <w:r>
        <w:rPr>
          <w:rFonts w:ascii="Times New Roman" w:hAnsi="Times New Roman"/>
          <w:b w:val="false"/>
          <w:i w:val="false"/>
          <w:color w:val="000000"/>
          <w:sz w:val="22"/>
        </w:rPr>
        <w:t>Selbsthilfe- und Interessengemeinschaften der Studierenden mit Behinderungen oder chronischen Krankheiten</w:t>
      </w:r>
    </w:p>
    <w:p>
      <w:pPr>
        <w:numPr>
          <w:ilvl w:val="0"/>
          <w:numId w:val="7"/>
        </w:numPr>
        <w:spacing w:before="0" w:after="0"/>
        <w:jc w:val="left"/>
      </w:pPr>
      <w:r>
        <w:rPr>
          <w:rFonts w:ascii="Times New Roman" w:hAnsi="Times New Roman"/>
          <w:b w:val="false"/>
          <w:i w:val="false"/>
          <w:color w:val="000000"/>
          <w:sz w:val="22"/>
        </w:rPr>
        <w:t>Themenverantwortliche in der Hochschulverwaltung (z. B. „Studentische Angelegenheiten") oder in den Abteilungen für IT, Organisation und Öffentlichkeitsarbeit</w:t>
      </w:r>
    </w:p>
    <w:p>
      <w:pPr>
        <w:numPr>
          <w:ilvl w:val="0"/>
          <w:numId w:val="7"/>
        </w:numPr>
        <w:spacing w:before="0" w:after="0"/>
        <w:jc w:val="left"/>
      </w:pPr>
      <w:r>
        <w:rPr>
          <w:rFonts w:ascii="Times New Roman" w:hAnsi="Times New Roman"/>
          <w:b w:val="false"/>
          <w:i w:val="false"/>
          <w:color w:val="000000"/>
          <w:sz w:val="22"/>
        </w:rPr>
        <w:t>Themenverantwortliche in hochschuldidaktischen Zentren oder Beauftragte für die digitale Transformation in der Lehre</w:t>
      </w:r>
    </w:p>
    <w:bookmarkStart w:name="dffe34aa13abbdb2630a637c8c7ce083" w:id="7"/>
    <w:p>
      <w:pPr>
        <w:pStyle w:val="Heading2"/>
        <w:spacing w:before="199" w:after="199"/>
        <w:ind w:left="120"/>
        <w:jc w:val="left"/>
      </w:pPr>
      <w:r>
        <w:rPr>
          <w:rFonts w:ascii="Times New Roman" w:hAnsi="Times New Roman"/>
          <w:color w:val="000000"/>
        </w:rPr>
        <w:t>Motivation</w:t>
      </w:r>
    </w:p>
    <w:bookmarkEnd w:id="7"/>
    <w:p>
      <w:pPr>
        <w:spacing w:before="269" w:after="269"/>
        <w:ind w:left="120"/>
        <w:jc w:val="left"/>
      </w:pPr>
      <w:r>
        <w:rPr>
          <w:rFonts w:ascii="Times New Roman" w:hAnsi="Times New Roman"/>
          <w:b w:val="false"/>
          <w:i w:val="false"/>
          <w:color w:val="000000"/>
          <w:sz w:val="22"/>
        </w:rPr>
        <w:t>Um die Motivation zur Teilnahme an der Umfrage zu erhöhen, wurde den Hochschulen vorab ein Datenblatt mit ihrer Selbsteinschätzung sowie Vergleichsdaten anderer Hochschulen in Aussicht gestellt. Zum einen sollte das Datenblatt eine Übersicht aller im Fragebogen ausgefüllten Fragen und der eigenen Antworten beinhalten. Auf diese Weise sollte es den Hochschulen als Bestandsaufnahme sowie als internes Kommunikationsinstrument dienen. Zum anderen sollte das Datenblatt ein Kapitel mit einer Gesamtauswertung aller quantitativen Fragen (dazu gehörten all jene Fragen mit vorgegebenen Antwortmöglichkeiten) beinhalten. Dies sollte den Hochschulen die Möglichkeit geben, den eigenen Stand der digitalen Barrierefreiheit mit dem anderer Hochschulen zu vergleichen.</w:t>
      </w:r>
    </w:p>
    <w:bookmarkStart w:name="ade3b3d1b5642f5d000207ae2a93f96d" w:id="8"/>
    <w:p>
      <w:pPr>
        <w:pStyle w:val="Heading1"/>
        <w:spacing w:before="180" w:after="180"/>
        <w:ind w:left="120"/>
        <w:jc w:val="left"/>
      </w:pPr>
      <w:r>
        <w:rPr>
          <w:rFonts w:ascii="Times New Roman" w:hAnsi="Times New Roman"/>
          <w:color w:val="000000"/>
          <w:sz w:val="33"/>
        </w:rPr>
        <w:t>Umsetzung der Umfrage</w:t>
      </w:r>
    </w:p>
    <w:bookmarkEnd w:id="8"/>
    <w:p>
      <w:pPr>
        <w:spacing w:before="269" w:after="269"/>
        <w:ind w:left="120"/>
        <w:jc w:val="left"/>
      </w:pPr>
      <w:hyperlink r:id="rId17">
        <w:r>
          <w:rPr>
            <w:rFonts w:ascii="Times New Roman" w:hAnsi="Times New Roman"/>
            <w:b w:val="false"/>
            <w:i w:val="false"/>
            <w:color w:val="0000ff"/>
            <w:sz w:val="22"/>
            <w:u w:val="single"/>
          </w:rPr>
          <w:t>Online betrachten</w:t>
        </w:r>
      </w:hyperlink>
    </w:p>
    <w:bookmarkStart w:name="00df54e918d3ffdd810c953f169ef65d" w:id="9"/>
    <w:p>
      <w:pPr>
        <w:pStyle w:val="Heading2"/>
        <w:spacing w:before="199" w:after="199"/>
        <w:ind w:left="120"/>
        <w:jc w:val="left"/>
      </w:pPr>
      <w:r>
        <w:rPr>
          <w:rFonts w:ascii="Times New Roman" w:hAnsi="Times New Roman"/>
          <w:color w:val="000000"/>
        </w:rPr>
        <w:t>Versand</w:t>
      </w:r>
    </w:p>
    <w:bookmarkEnd w:id="9"/>
    <w:p>
      <w:pPr>
        <w:spacing w:before="269" w:after="269"/>
        <w:ind w:left="120"/>
        <w:jc w:val="left"/>
      </w:pPr>
      <w:r>
        <w:rPr>
          <w:rFonts w:ascii="Times New Roman" w:hAnsi="Times New Roman"/>
          <w:b w:val="false"/>
          <w:i w:val="false"/>
          <w:color w:val="000000"/>
          <w:sz w:val="22"/>
        </w:rPr>
        <w:t>Die Einladung zur Umfrage-Teilnahme erfolgte per E-Mail über verschiedene Verteiler. Die Schwierigkeit bestand vor allem darin, möglichst viele Hochschulen zu erreichen und dennoch Doppel-Beantwortungen durch unterschiedliche Personen derselben Hochschule zu vermeiden.</w:t>
      </w:r>
      <w:r>
        <w:br/>
      </w:r>
      <w:r>
        <w:rPr>
          <w:rFonts w:ascii="Times New Roman" w:hAnsi="Times New Roman"/>
          <w:b w:val="false"/>
          <w:i w:val="false"/>
          <w:color w:val="000000"/>
          <w:sz w:val="22"/>
        </w:rPr>
        <w:t>Aus diesem Grund erfolgte der Versand der Einladung in zwei Schritten:</w:t>
      </w:r>
    </w:p>
    <w:p>
      <w:pPr>
        <w:numPr>
          <w:ilvl w:val="0"/>
          <w:numId w:val="8"/>
        </w:numPr>
        <w:spacing w:before="0" w:after="0"/>
        <w:jc w:val="left"/>
      </w:pPr>
      <w:r>
        <w:rPr>
          <w:rFonts w:ascii="Times New Roman" w:hAnsi="Times New Roman"/>
          <w:b w:val="false"/>
          <w:i w:val="false"/>
          <w:color w:val="000000"/>
          <w:sz w:val="22"/>
        </w:rPr>
        <w:t>Versand der initialen Einladung (inkl. Umfrage-Link) an die Hochschulleitungen über den</w:t>
      </w:r>
      <w:r>
        <w:br/>
      </w:r>
      <w:r>
        <w:rPr>
          <w:rFonts w:ascii="Times New Roman" w:hAnsi="Times New Roman"/>
          <w:b w:val="false"/>
          <w:i w:val="false"/>
          <w:color w:val="000000"/>
          <w:sz w:val="22"/>
        </w:rPr>
        <w:t>E-Mail-Verteiler der Hochschulrektorenkonferenz</w:t>
      </w:r>
    </w:p>
    <w:p>
      <w:pPr>
        <w:numPr>
          <w:ilvl w:val="0"/>
          <w:numId w:val="8"/>
        </w:numPr>
        <w:spacing w:before="0" w:after="0"/>
        <w:jc w:val="left"/>
      </w:pPr>
      <w:r>
        <w:rPr>
          <w:rFonts w:ascii="Times New Roman" w:hAnsi="Times New Roman"/>
          <w:b w:val="false"/>
          <w:i w:val="false"/>
          <w:color w:val="000000"/>
          <w:sz w:val="22"/>
        </w:rPr>
        <w:t>Versand einer Follow-Up-Einladung (ohne Umfrage-Link, mit Verweis auf die erste E-Mail)</w:t>
      </w:r>
      <w:r>
        <w:br/>
      </w:r>
      <w:r>
        <w:rPr>
          <w:rFonts w:ascii="Times New Roman" w:hAnsi="Times New Roman"/>
          <w:b w:val="false"/>
          <w:i w:val="false"/>
          <w:color w:val="000000"/>
          <w:sz w:val="22"/>
        </w:rPr>
        <w:t>an die Beauftragten für die Belange von Studierenden mit Behinderungen oder chronischen Krankheiten über den E-Mail-Verteiler des Studierendenwerks</w:t>
      </w:r>
    </w:p>
    <w:bookmarkStart w:name="df29a298667ed337a2bba1b88c6fba68" w:id="10"/>
    <w:p>
      <w:pPr>
        <w:pStyle w:val="Heading2"/>
        <w:spacing w:before="199" w:after="199"/>
        <w:ind w:left="120"/>
        <w:jc w:val="left"/>
      </w:pPr>
      <w:r>
        <w:rPr>
          <w:rFonts w:ascii="Times New Roman" w:hAnsi="Times New Roman"/>
          <w:color w:val="000000"/>
        </w:rPr>
        <w:t>Laufzeit</w:t>
      </w:r>
    </w:p>
    <w:bookmarkEnd w:id="10"/>
    <w:p>
      <w:pPr>
        <w:spacing w:before="269" w:after="269"/>
        <w:ind w:left="120"/>
        <w:jc w:val="left"/>
      </w:pPr>
      <w:r>
        <w:rPr>
          <w:rFonts w:ascii="Times New Roman" w:hAnsi="Times New Roman"/>
          <w:b w:val="false"/>
          <w:i w:val="false"/>
          <w:color w:val="000000"/>
          <w:sz w:val="22"/>
        </w:rPr>
        <w:t>Die Durchführung der Umfrage erfolgte im Sommersemester 2024. Ursprünglich war die Laufzeit auf neun Wochen ausgelegt, wurde aufgrund der hohen Nachfrage jedoch um eine Woche verlängert, sodass die Umfrage schlussendlich vom 29. April bis 7. Juli 2024 aktiv war.</w:t>
      </w:r>
    </w:p>
    <w:bookmarkStart w:name="3bb1c7e9c036f3adb74a267ffea4b8a0" w:id="11"/>
    <w:p>
      <w:pPr>
        <w:pStyle w:val="Heading2"/>
        <w:spacing w:before="199" w:after="199"/>
        <w:ind w:left="120"/>
        <w:jc w:val="left"/>
      </w:pPr>
      <w:r>
        <w:rPr>
          <w:rFonts w:ascii="Times New Roman" w:hAnsi="Times New Roman"/>
          <w:color w:val="000000"/>
        </w:rPr>
        <w:t>Rücklauf</w:t>
      </w:r>
    </w:p>
    <w:bookmarkEnd w:id="11"/>
    <w:p>
      <w:pPr>
        <w:spacing w:before="269" w:after="269"/>
        <w:ind w:left="120"/>
        <w:jc w:val="left"/>
      </w:pPr>
      <w:r>
        <w:rPr>
          <w:rFonts w:ascii="Times New Roman" w:hAnsi="Times New Roman"/>
          <w:b w:val="false"/>
          <w:i w:val="false"/>
          <w:color w:val="000000"/>
          <w:sz w:val="22"/>
        </w:rPr>
        <w:t>Das Umfrage-Tool SoSci-Survey zeichnete innerhalb der Laufzeit 98 vollendete Datensätze auf.</w:t>
      </w:r>
      <w:r>
        <w:br/>
      </w:r>
      <w:r>
        <w:rPr>
          <w:rFonts w:ascii="Times New Roman" w:hAnsi="Times New Roman"/>
          <w:b w:val="false"/>
          <w:i w:val="false"/>
          <w:color w:val="000000"/>
          <w:sz w:val="22"/>
        </w:rPr>
        <w:t xml:space="preserve">Zwei Datensätze enthielten fiktive Angaben mit Platzhaltertexten, diese wurden aus der Umfrageauswertung ausgeschlossen. Die weitere Sichtung der Daten ergab, dass keine Hochschule den Fragebogen doppelt abgesendet hat. Das heißt, final gingen 96 Hochschulen in die Umfrageauswertung ein. Bezogen auf die Gesamtzahl der Hochschulen in Deutschland stellt dies einen Anteil von ca. 22,4 % dar (siehe Anmerkungen im Kapitel </w:t>
      </w:r>
      <w:hyperlink w:anchor="f5cc5e7d794c0a5c10c68595f5cd931d">
        <w:r>
          <w:rPr>
            <w:rFonts w:ascii="Times New Roman" w:hAnsi="Times New Roman"/>
            <w:b w:val="false"/>
            <w:i w:val="false"/>
            <w:color w:val="0000ff"/>
            <w:sz w:val="22"/>
            <w:u w:val="single"/>
          </w:rPr>
          <w:t>Adressaten</w:t>
        </w:r>
      </w:hyperlink>
      <w:r>
        <w:rPr>
          <w:rFonts w:ascii="Times New Roman" w:hAnsi="Times New Roman"/>
          <w:b w:val="false"/>
          <w:i w:val="false"/>
          <w:color w:val="000000"/>
          <w:sz w:val="22"/>
        </w:rPr>
        <w:t>).</w:t>
      </w:r>
    </w:p>
    <w:bookmarkStart w:name="9e44fb1f03bccd7b04e4446815654b36" w:id="12"/>
    <w:p>
      <w:pPr>
        <w:pStyle w:val="Heading3"/>
        <w:spacing w:before="269" w:after="269"/>
        <w:ind w:left="120"/>
        <w:jc w:val="left"/>
      </w:pPr>
      <w:r>
        <w:rPr>
          <w:rFonts w:ascii="Times New Roman" w:hAnsi="Times New Roman"/>
          <w:color w:val="000000"/>
        </w:rPr>
        <w:t>Hochschulen nach Trägerschaft</w:t>
      </w:r>
    </w:p>
    <w:bookmarkEnd w:id="12"/>
    <w:p>
      <w:pPr>
        <w:spacing w:before="269" w:after="269"/>
        <w:ind w:left="120"/>
        <w:jc w:val="left"/>
      </w:pPr>
      <w:r>
        <w:rPr>
          <w:rFonts w:ascii="Times New Roman" w:hAnsi="Times New Roman"/>
          <w:b w:val="false"/>
          <w:i w:val="false"/>
          <w:color w:val="000000"/>
          <w:sz w:val="22"/>
        </w:rPr>
        <w:t xml:space="preserve">Von den 96 Hochschulen, die in die Umfrageauswertung eingingen, sind 89 Hochschulen in staatlicher Trägerschaft. Verglichen mit den Zahlen für das Wintersemester 2023/2024, stellt dies einen Anteil von ca. 32,4 % aller staatlichen Hochschulen in Deutschland dar. (Quelle: </w:t>
      </w:r>
      <w:hyperlink r:id="rId18">
        <w:r>
          <w:rPr>
            <w:rFonts w:ascii="Times New Roman" w:hAnsi="Times New Roman"/>
            <w:b w:val="false"/>
            <w:i w:val="false"/>
            <w:color w:val="0000ff"/>
            <w:sz w:val="22"/>
            <w:u w:val="single"/>
          </w:rPr>
          <w:t>Datenportal des BMFTR. Tabelle 2.5.1 Hochschulen nach Hochschularten und Ländern</w:t>
        </w:r>
      </w:hyperlink>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Die übrigen sieben Hochschulen befinden sich teils in kirchlicher, teils in privater Trägerschaft. Da sie jedoch staatlich anerkannt sind und mehrheitlich mit staatlichen Geldern finanziert werden und/oder die Träger selbst Körperschaften oder Stiftungen öffentlichen Rechts sind, fallen auch sie unter die gesetzlichen Regelungen und sind somit für die Umfrageauswertung relevant.</w:t>
      </w:r>
    </w:p>
    <w:bookmarkStart w:name="c485e884ab47e28341b495bc3240eddc" w:id="13"/>
    <w:p>
      <w:pPr>
        <w:pStyle w:val="Heading3"/>
        <w:spacing w:before="269" w:after="269"/>
        <w:ind w:left="120"/>
        <w:jc w:val="left"/>
      </w:pPr>
      <w:r>
        <w:rPr>
          <w:rFonts w:ascii="Times New Roman" w:hAnsi="Times New Roman"/>
          <w:color w:val="000000"/>
        </w:rPr>
        <w:t>Hochschulen nach Bundesland</w:t>
      </w:r>
    </w:p>
    <w:bookmarkEnd w:id="13"/>
    <w:p>
      <w:pPr>
        <w:spacing w:before="269" w:after="269"/>
        <w:ind w:left="120"/>
        <w:jc w:val="left"/>
      </w:pPr>
      <w:r>
        <w:rPr>
          <w:rFonts w:ascii="Times New Roman" w:hAnsi="Times New Roman"/>
          <w:b w:val="false"/>
          <w:i w:val="false"/>
          <w:color w:val="000000"/>
          <w:sz w:val="22"/>
        </w:rPr>
        <w:t xml:space="preserve">An der Umfrage nahmen Hochschulen aus allen Bundesländern teil. Die folgende Auflistung zeigt, zu wieviel Prozent Hochschulen aus den einzelnen Bundesländern an der Umfrage beteiligt waren. Zur Einordnung ist hinter jedem Eintrag in Klammern die Gesamtzahl der Hochschulen des jeweiligen Bundeslandes aus dem Wintersemester 2023/2024 angegeben: (Quelle: </w:t>
      </w:r>
      <w:hyperlink r:id="rId19">
        <w:r>
          <w:rPr>
            <w:rFonts w:ascii="Times New Roman" w:hAnsi="Times New Roman"/>
            <w:b w:val="false"/>
            <w:i w:val="false"/>
            <w:color w:val="0000ff"/>
            <w:sz w:val="22"/>
            <w:u w:val="single"/>
          </w:rPr>
          <w:t>Datenportal des BMFTR. Tabelle 2.5.1 Hochschulen nach Hochschularten und Ländern</w:t>
        </w:r>
      </w:hyperlink>
      <w:r>
        <w:rPr>
          <w:rFonts w:ascii="Times New Roman" w:hAnsi="Times New Roman"/>
          <w:b w:val="false"/>
          <w:i w:val="false"/>
          <w:color w:val="000000"/>
          <w:sz w:val="22"/>
        </w:rPr>
        <w:t>)</w:t>
      </w:r>
    </w:p>
    <w:p>
      <w:pPr>
        <w:numPr>
          <w:ilvl w:val="0"/>
          <w:numId w:val="9"/>
        </w:numPr>
        <w:spacing w:before="0" w:after="0"/>
        <w:jc w:val="left"/>
      </w:pPr>
      <w:r>
        <w:rPr>
          <w:rFonts w:ascii="Times New Roman" w:hAnsi="Times New Roman"/>
          <w:b w:val="false"/>
          <w:i w:val="false"/>
          <w:color w:val="000000"/>
          <w:sz w:val="22"/>
        </w:rPr>
        <w:t>Baden-Württemberg: 16,6 % (16 von 68)</w:t>
      </w:r>
    </w:p>
    <w:p>
      <w:pPr>
        <w:numPr>
          <w:ilvl w:val="0"/>
          <w:numId w:val="9"/>
        </w:numPr>
        <w:spacing w:before="0" w:after="0"/>
        <w:jc w:val="left"/>
      </w:pPr>
      <w:r>
        <w:rPr>
          <w:rFonts w:ascii="Times New Roman" w:hAnsi="Times New Roman"/>
          <w:b w:val="false"/>
          <w:i w:val="false"/>
          <w:color w:val="000000"/>
          <w:sz w:val="22"/>
        </w:rPr>
        <w:t>Bayern: 5,2 % (5 von 48)</w:t>
      </w:r>
    </w:p>
    <w:p>
      <w:pPr>
        <w:numPr>
          <w:ilvl w:val="0"/>
          <w:numId w:val="9"/>
        </w:numPr>
        <w:spacing w:before="0" w:after="0"/>
        <w:jc w:val="left"/>
      </w:pPr>
      <w:r>
        <w:rPr>
          <w:rFonts w:ascii="Times New Roman" w:hAnsi="Times New Roman"/>
          <w:b w:val="false"/>
          <w:i w:val="false"/>
          <w:color w:val="000000"/>
          <w:sz w:val="22"/>
        </w:rPr>
        <w:t>Berlin: 7,3 % (7 von 39)</w:t>
      </w:r>
    </w:p>
    <w:p>
      <w:pPr>
        <w:numPr>
          <w:ilvl w:val="0"/>
          <w:numId w:val="9"/>
        </w:numPr>
        <w:spacing w:before="0" w:after="0"/>
        <w:jc w:val="left"/>
      </w:pPr>
      <w:r>
        <w:rPr>
          <w:rFonts w:ascii="Times New Roman" w:hAnsi="Times New Roman"/>
          <w:b w:val="false"/>
          <w:i w:val="false"/>
          <w:color w:val="000000"/>
          <w:sz w:val="22"/>
        </w:rPr>
        <w:t>Brandenburg: 3,1 % (3 von 20)</w:t>
      </w:r>
    </w:p>
    <w:p>
      <w:pPr>
        <w:numPr>
          <w:ilvl w:val="0"/>
          <w:numId w:val="9"/>
        </w:numPr>
        <w:spacing w:before="0" w:after="0"/>
        <w:jc w:val="left"/>
      </w:pPr>
      <w:r>
        <w:rPr>
          <w:rFonts w:ascii="Times New Roman" w:hAnsi="Times New Roman"/>
          <w:b w:val="false"/>
          <w:i w:val="false"/>
          <w:color w:val="000000"/>
          <w:sz w:val="22"/>
        </w:rPr>
        <w:t>Bremen: 1,0 % (1 von 7)</w:t>
      </w:r>
    </w:p>
    <w:p>
      <w:pPr>
        <w:numPr>
          <w:ilvl w:val="0"/>
          <w:numId w:val="9"/>
        </w:numPr>
        <w:spacing w:before="0" w:after="0"/>
        <w:jc w:val="left"/>
      </w:pPr>
      <w:r>
        <w:rPr>
          <w:rFonts w:ascii="Times New Roman" w:hAnsi="Times New Roman"/>
          <w:b w:val="false"/>
          <w:i w:val="false"/>
          <w:color w:val="000000"/>
          <w:sz w:val="22"/>
        </w:rPr>
        <w:t>Hamburg: 2,1 % (2 von 19)</w:t>
      </w:r>
    </w:p>
    <w:p>
      <w:pPr>
        <w:numPr>
          <w:ilvl w:val="0"/>
          <w:numId w:val="9"/>
        </w:numPr>
        <w:spacing w:before="0" w:after="0"/>
        <w:jc w:val="left"/>
      </w:pPr>
      <w:r>
        <w:rPr>
          <w:rFonts w:ascii="Times New Roman" w:hAnsi="Times New Roman"/>
          <w:b w:val="false"/>
          <w:i w:val="false"/>
          <w:color w:val="000000"/>
          <w:sz w:val="22"/>
        </w:rPr>
        <w:t>Hessen: 7,3 % (7 von 36)</w:t>
      </w:r>
    </w:p>
    <w:p>
      <w:pPr>
        <w:numPr>
          <w:ilvl w:val="0"/>
          <w:numId w:val="9"/>
        </w:numPr>
        <w:spacing w:before="0" w:after="0"/>
        <w:jc w:val="left"/>
      </w:pPr>
      <w:r>
        <w:rPr>
          <w:rFonts w:ascii="Times New Roman" w:hAnsi="Times New Roman"/>
          <w:b w:val="false"/>
          <w:i w:val="false"/>
          <w:color w:val="000000"/>
          <w:sz w:val="22"/>
        </w:rPr>
        <w:t>Mecklenburg-Vorpommern: 1,0 % (1 von 7)</w:t>
      </w:r>
    </w:p>
    <w:p>
      <w:pPr>
        <w:numPr>
          <w:ilvl w:val="0"/>
          <w:numId w:val="9"/>
        </w:numPr>
        <w:spacing w:before="0" w:after="0"/>
        <w:jc w:val="left"/>
      </w:pPr>
      <w:r>
        <w:rPr>
          <w:rFonts w:ascii="Times New Roman" w:hAnsi="Times New Roman"/>
          <w:b w:val="false"/>
          <w:i w:val="false"/>
          <w:color w:val="000000"/>
          <w:sz w:val="22"/>
        </w:rPr>
        <w:t>Niedersachsen: 8,3 % (8 von 29)</w:t>
      </w:r>
    </w:p>
    <w:p>
      <w:pPr>
        <w:numPr>
          <w:ilvl w:val="0"/>
          <w:numId w:val="9"/>
        </w:numPr>
        <w:spacing w:before="0" w:after="0"/>
        <w:jc w:val="left"/>
      </w:pPr>
      <w:r>
        <w:rPr>
          <w:rFonts w:ascii="Times New Roman" w:hAnsi="Times New Roman"/>
          <w:b w:val="false"/>
          <w:i w:val="false"/>
          <w:color w:val="000000"/>
          <w:sz w:val="22"/>
        </w:rPr>
        <w:t>Nordrhein-Westfalen: 21,9 % (21 von 69)</w:t>
      </w:r>
    </w:p>
    <w:p>
      <w:pPr>
        <w:numPr>
          <w:ilvl w:val="0"/>
          <w:numId w:val="9"/>
        </w:numPr>
        <w:spacing w:before="0" w:after="0"/>
        <w:jc w:val="left"/>
      </w:pPr>
      <w:r>
        <w:rPr>
          <w:rFonts w:ascii="Times New Roman" w:hAnsi="Times New Roman"/>
          <w:b w:val="false"/>
          <w:i w:val="false"/>
          <w:color w:val="000000"/>
          <w:sz w:val="22"/>
        </w:rPr>
        <w:t>Rheinland-Pfalz: 7,3 % (7 von 21)</w:t>
      </w:r>
    </w:p>
    <w:p>
      <w:pPr>
        <w:numPr>
          <w:ilvl w:val="0"/>
          <w:numId w:val="9"/>
        </w:numPr>
        <w:spacing w:before="0" w:after="0"/>
        <w:jc w:val="left"/>
      </w:pPr>
      <w:r>
        <w:rPr>
          <w:rFonts w:ascii="Times New Roman" w:hAnsi="Times New Roman"/>
          <w:b w:val="false"/>
          <w:i w:val="false"/>
          <w:color w:val="000000"/>
          <w:sz w:val="22"/>
        </w:rPr>
        <w:t>Saarland: 3,1 % (3 von 6)</w:t>
      </w:r>
    </w:p>
    <w:p>
      <w:pPr>
        <w:numPr>
          <w:ilvl w:val="0"/>
          <w:numId w:val="9"/>
        </w:numPr>
        <w:spacing w:before="0" w:after="0"/>
        <w:jc w:val="left"/>
      </w:pPr>
      <w:r>
        <w:rPr>
          <w:rFonts w:ascii="Times New Roman" w:hAnsi="Times New Roman"/>
          <w:b w:val="false"/>
          <w:i w:val="false"/>
          <w:color w:val="000000"/>
          <w:sz w:val="22"/>
        </w:rPr>
        <w:t>Sachsen: 7,3 % (7 von 21)</w:t>
      </w:r>
    </w:p>
    <w:p>
      <w:pPr>
        <w:numPr>
          <w:ilvl w:val="0"/>
          <w:numId w:val="9"/>
        </w:numPr>
        <w:spacing w:before="0" w:after="0"/>
        <w:jc w:val="left"/>
      </w:pPr>
      <w:r>
        <w:rPr>
          <w:rFonts w:ascii="Times New Roman" w:hAnsi="Times New Roman"/>
          <w:b w:val="false"/>
          <w:i w:val="false"/>
          <w:color w:val="000000"/>
          <w:sz w:val="22"/>
        </w:rPr>
        <w:t>Sachsen-Anhalt: 2,1 % (2 von 11)</w:t>
      </w:r>
    </w:p>
    <w:p>
      <w:pPr>
        <w:numPr>
          <w:ilvl w:val="0"/>
          <w:numId w:val="9"/>
        </w:numPr>
        <w:spacing w:before="0" w:after="0"/>
        <w:jc w:val="left"/>
      </w:pPr>
      <w:r>
        <w:rPr>
          <w:rFonts w:ascii="Times New Roman" w:hAnsi="Times New Roman"/>
          <w:b w:val="false"/>
          <w:i w:val="false"/>
          <w:color w:val="000000"/>
          <w:sz w:val="22"/>
        </w:rPr>
        <w:t>Schleswig-Holstein: 2,1 % (2 von 13)</w:t>
      </w:r>
    </w:p>
    <w:p>
      <w:pPr>
        <w:numPr>
          <w:ilvl w:val="0"/>
          <w:numId w:val="9"/>
        </w:numPr>
        <w:spacing w:before="0" w:after="0"/>
        <w:jc w:val="left"/>
      </w:pPr>
      <w:r>
        <w:rPr>
          <w:rFonts w:ascii="Times New Roman" w:hAnsi="Times New Roman"/>
          <w:b w:val="false"/>
          <w:i w:val="false"/>
          <w:color w:val="000000"/>
          <w:sz w:val="22"/>
        </w:rPr>
        <w:t>Thüringen: 4,2 % (4 von 14)</w:t>
      </w:r>
    </w:p>
    <w:bookmarkStart w:name="186e98510793974b761cfe3dbbfe10f5" w:id="14"/>
    <w:p>
      <w:pPr>
        <w:pStyle w:val="Heading3"/>
        <w:spacing w:before="269" w:after="269"/>
        <w:ind w:left="120"/>
        <w:jc w:val="left"/>
      </w:pPr>
      <w:r>
        <w:rPr>
          <w:rFonts w:ascii="Times New Roman" w:hAnsi="Times New Roman"/>
          <w:color w:val="000000"/>
        </w:rPr>
        <w:t>Hochschulen nach Typ</w:t>
      </w:r>
    </w:p>
    <w:bookmarkEnd w:id="14"/>
    <w:p>
      <w:pPr>
        <w:spacing w:before="269" w:after="269"/>
        <w:ind w:left="120"/>
        <w:jc w:val="left"/>
      </w:pPr>
      <w:r>
        <w:rPr>
          <w:rFonts w:ascii="Times New Roman" w:hAnsi="Times New Roman"/>
          <w:b w:val="false"/>
          <w:i w:val="false"/>
          <w:color w:val="000000"/>
          <w:sz w:val="22"/>
        </w:rPr>
        <w:t xml:space="preserve">Ferner lassen sich die teilnehmenden Hochschulen nach Typ bzw. Art unterteilen. Im Folgenden ist aufgeschlüsselt, wie viele Hochschulen der unterschiedlichen Typen an der Umfrage teilgenommen haben. Zur Einordnung steht hinter jedem Eintrag eine zweite Zahl in Klammern, welche die Gesamtzahl der Hochschulen pro Typ im Wintersemester 2023/24 angibt. (Quelle: </w:t>
      </w:r>
      <w:hyperlink r:id="rId20">
        <w:r>
          <w:rPr>
            <w:rFonts w:ascii="Times New Roman" w:hAnsi="Times New Roman"/>
            <w:b w:val="false"/>
            <w:i w:val="false"/>
            <w:color w:val="0000ff"/>
            <w:sz w:val="22"/>
            <w:u w:val="single"/>
          </w:rPr>
          <w:t>Datenportal des BMFTR. Tabelle 2.5.1 Hochschulen nach Hochschularten und Ländern</w:t>
        </w:r>
      </w:hyperlink>
      <w:r>
        <w:rPr>
          <w:rFonts w:ascii="Times New Roman" w:hAnsi="Times New Roman"/>
          <w:b w:val="false"/>
          <w:i w:val="false"/>
          <w:color w:val="000000"/>
          <w:sz w:val="22"/>
        </w:rPr>
        <w:t>)</w:t>
      </w:r>
    </w:p>
    <w:p>
      <w:pPr>
        <w:numPr>
          <w:ilvl w:val="0"/>
          <w:numId w:val="10"/>
        </w:numPr>
        <w:spacing w:before="0" w:after="0"/>
        <w:jc w:val="left"/>
      </w:pPr>
      <w:r>
        <w:rPr>
          <w:rFonts w:ascii="Times New Roman" w:hAnsi="Times New Roman"/>
          <w:b w:val="false"/>
          <w:i w:val="false"/>
          <w:color w:val="000000"/>
          <w:sz w:val="22"/>
        </w:rPr>
        <w:t>Fachhochschulen / Hochschulen für Angewandte Wissenschaften (HAW):</w:t>
      </w:r>
      <w:r>
        <w:br/>
      </w:r>
      <w:r>
        <w:rPr>
          <w:rFonts w:ascii="Times New Roman" w:hAnsi="Times New Roman"/>
          <w:b w:val="false"/>
          <w:i w:val="false"/>
          <w:color w:val="000000"/>
          <w:sz w:val="22"/>
        </w:rPr>
        <w:t>41,7 % (40 von 215)</w:t>
      </w:r>
    </w:p>
    <w:p>
      <w:pPr>
        <w:numPr>
          <w:ilvl w:val="0"/>
          <w:numId w:val="10"/>
        </w:numPr>
        <w:spacing w:before="0" w:after="0"/>
        <w:jc w:val="left"/>
      </w:pPr>
      <w:r>
        <w:rPr>
          <w:rFonts w:ascii="Times New Roman" w:hAnsi="Times New Roman"/>
          <w:b w:val="false"/>
          <w:i w:val="false"/>
          <w:color w:val="000000"/>
          <w:sz w:val="22"/>
        </w:rPr>
        <w:t>Universitäten: 41,7 % (40 von 109)</w:t>
      </w:r>
    </w:p>
    <w:p>
      <w:pPr>
        <w:numPr>
          <w:ilvl w:val="0"/>
          <w:numId w:val="10"/>
        </w:numPr>
        <w:spacing w:before="0" w:after="0"/>
        <w:jc w:val="left"/>
      </w:pPr>
      <w:r>
        <w:rPr>
          <w:rFonts w:ascii="Times New Roman" w:hAnsi="Times New Roman"/>
          <w:b w:val="false"/>
          <w:i w:val="false"/>
          <w:color w:val="000000"/>
          <w:sz w:val="22"/>
        </w:rPr>
        <w:t>Künstlerische Hochschulen: 9,4 % (9 von 52)</w:t>
      </w:r>
    </w:p>
    <w:p>
      <w:pPr>
        <w:numPr>
          <w:ilvl w:val="0"/>
          <w:numId w:val="10"/>
        </w:numPr>
        <w:spacing w:before="0" w:after="0"/>
        <w:jc w:val="left"/>
      </w:pPr>
      <w:r>
        <w:rPr>
          <w:rFonts w:ascii="Times New Roman" w:hAnsi="Times New Roman"/>
          <w:b w:val="false"/>
          <w:i w:val="false"/>
          <w:color w:val="000000"/>
          <w:sz w:val="22"/>
        </w:rPr>
        <w:t>Pädagogische Hochschulen: 4,2 % (4 von 6)</w:t>
      </w:r>
    </w:p>
    <w:p>
      <w:pPr>
        <w:numPr>
          <w:ilvl w:val="0"/>
          <w:numId w:val="10"/>
        </w:numPr>
        <w:spacing w:before="0" w:after="0"/>
        <w:jc w:val="left"/>
      </w:pPr>
      <w:r>
        <w:rPr>
          <w:rFonts w:ascii="Times New Roman" w:hAnsi="Times New Roman"/>
          <w:b w:val="false"/>
          <w:i w:val="false"/>
          <w:color w:val="000000"/>
          <w:sz w:val="22"/>
        </w:rPr>
        <w:t>Sonstige Hochschulen: 3,1 % (3 von 46)</w:t>
      </w:r>
    </w:p>
    <w:bookmarkStart w:name="729e36bba844f58ae26ad32254701d17" w:id="15"/>
    <w:p>
      <w:pPr>
        <w:pStyle w:val="Heading1"/>
        <w:spacing w:before="180" w:after="180"/>
        <w:ind w:left="120"/>
        <w:jc w:val="left"/>
      </w:pPr>
      <w:r>
        <w:rPr>
          <w:rFonts w:ascii="Times New Roman" w:hAnsi="Times New Roman"/>
          <w:color w:val="000000"/>
          <w:sz w:val="33"/>
        </w:rPr>
        <w:t>Ergebnisse der Umfrage</w:t>
      </w:r>
    </w:p>
    <w:bookmarkEnd w:id="15"/>
    <w:p>
      <w:pPr>
        <w:spacing w:before="269" w:after="269"/>
        <w:ind w:left="120"/>
        <w:jc w:val="left"/>
      </w:pPr>
      <w:hyperlink r:id="rId21">
        <w:r>
          <w:rPr>
            <w:rFonts w:ascii="Times New Roman" w:hAnsi="Times New Roman"/>
            <w:b w:val="false"/>
            <w:i w:val="false"/>
            <w:color w:val="0000ff"/>
            <w:sz w:val="22"/>
            <w:u w:val="single"/>
          </w:rPr>
          <w:t>Online betrachten</w:t>
        </w:r>
      </w:hyperlink>
    </w:p>
    <w:bookmarkStart w:name="aeec392df4f4c5bf52b793babf62c9ec" w:id="16"/>
    <w:p>
      <w:pPr>
        <w:pStyle w:val="Heading2"/>
        <w:spacing w:before="199" w:after="199"/>
        <w:ind w:left="120"/>
        <w:jc w:val="left"/>
      </w:pPr>
      <w:r>
        <w:rPr>
          <w:rFonts w:ascii="Times New Roman" w:hAnsi="Times New Roman"/>
          <w:color w:val="000000"/>
        </w:rPr>
        <w:t>Grenzen der Umfrageergebnisse</w:t>
      </w:r>
    </w:p>
    <w:bookmarkEnd w:id="16"/>
    <w:p>
      <w:pPr>
        <w:spacing w:before="269" w:after="269"/>
        <w:ind w:left="120"/>
        <w:jc w:val="left"/>
      </w:pPr>
      <w:r>
        <w:rPr>
          <w:rFonts w:ascii="Times New Roman" w:hAnsi="Times New Roman"/>
          <w:b w:val="false"/>
          <w:i w:val="false"/>
          <w:color w:val="000000"/>
          <w:sz w:val="22"/>
        </w:rPr>
        <w:t>In den folgenden Kapiteln werden die quantitativen und qualitativen Ergebnisse der Umfrage dargestellt. Um eine Fehlinterpretation der Ergebnisse zu vermeiden, sind vorab folgende Einschränkungen zu beachten, die sich aus der Methodik der Umfrage ergeben:</w:t>
      </w:r>
    </w:p>
    <w:p>
      <w:pPr>
        <w:numPr>
          <w:ilvl w:val="0"/>
          <w:numId w:val="11"/>
        </w:numPr>
        <w:spacing w:before="0" w:after="0"/>
        <w:jc w:val="left"/>
      </w:pPr>
      <w:r>
        <w:rPr>
          <w:rFonts w:ascii="Times New Roman" w:hAnsi="Times New Roman"/>
          <w:b w:val="false"/>
          <w:i w:val="false"/>
          <w:color w:val="000000"/>
          <w:sz w:val="22"/>
        </w:rPr>
        <w:t>Wenngleich die Anzahl der teilnehmenden Hochschulen relativ hoch ist, ist ein Rückschluss bzw. eine Hochrechnung der Ergebnisse auf die gesamte Hochschullandschaft nur schwer möglich. Da die Teilnahme an der Umfrage freiwillig war, ist nicht auszuschließen, dass vor allem jene Hochschulen an der Umfrage teilnahmen, die sich bereits mit dem Thema digitale Barrierefreiheit auseinandersetzen. Die in den folgenden Kapiteln angegebenen Prozentangaben beziehen sich daher immer auf die an der Umfrage beteiligten Hochschulen und nicht auf die Gesamtheit aller (öffentlich-rechtlichen) Hochschulen in Deutschland.</w:t>
      </w:r>
    </w:p>
    <w:p>
      <w:pPr>
        <w:numPr>
          <w:ilvl w:val="0"/>
          <w:numId w:val="11"/>
        </w:numPr>
        <w:spacing w:before="0" w:after="0"/>
        <w:jc w:val="left"/>
      </w:pPr>
      <w:r>
        <w:rPr>
          <w:rFonts w:ascii="Times New Roman" w:hAnsi="Times New Roman"/>
          <w:b w:val="false"/>
          <w:i w:val="false"/>
          <w:color w:val="000000"/>
          <w:sz w:val="22"/>
        </w:rPr>
        <w:t>Die Umfrage beruht auf einer Selbsteinschätzung der Hochschulen. Die Beurteilung, inwieweit bestimmte Maßnahmen zur Stärkung und Sicherung der digitalen Barrierefreiheit an einzelnen Hochschulen gegeben sind oder nicht, liegt im Ermessen der jeweiligen Hochschule bzw. der antwortenden Person. Eine objektive, unabhängige Beurteilung ist nicht gegeben.</w:t>
      </w:r>
    </w:p>
    <w:p>
      <w:pPr>
        <w:numPr>
          <w:ilvl w:val="0"/>
          <w:numId w:val="11"/>
        </w:numPr>
        <w:spacing w:before="0" w:after="0"/>
        <w:jc w:val="left"/>
      </w:pPr>
      <w:r>
        <w:rPr>
          <w:rFonts w:ascii="Times New Roman" w:hAnsi="Times New Roman"/>
          <w:b w:val="false"/>
          <w:i w:val="false"/>
          <w:color w:val="000000"/>
          <w:sz w:val="22"/>
        </w:rPr>
        <w:t>Hochschulen sind große Einrichtungen mit komplexen Strukturen und einer Vielzahl von Abteilungen, Fachbereichen, Gremien und Service-Einrichtungen. Die Umsetzung digitaler Barrierefreiheit kann in den unterschiedlichen Bereichen variieren. Pauschale Antworten auf einzelne Fragen sind daher im Einzelfall nur bedingt möglich.</w:t>
      </w:r>
    </w:p>
    <w:p>
      <w:pPr>
        <w:numPr>
          <w:ilvl w:val="0"/>
          <w:numId w:val="11"/>
        </w:numPr>
        <w:spacing w:before="0" w:after="0"/>
        <w:jc w:val="left"/>
      </w:pPr>
      <w:r>
        <w:rPr>
          <w:rFonts w:ascii="Times New Roman" w:hAnsi="Times New Roman"/>
          <w:b w:val="false"/>
          <w:i w:val="false"/>
          <w:color w:val="000000"/>
          <w:sz w:val="22"/>
        </w:rPr>
        <w:t>Ziel der Umfrage war es, Informationen über bestehende Strukturen, Prozesse und Maßnahmen zur Umsetzung und Stärkung der digitalen Barrierefreiheit zu gewinnen. Dies lässt jedoch noch kein direktes Urteil über die Qualität und Effizienz dieser Bemühungen im Alltag von Studierenden oder Mitarbeitenden mit Behinderung zu.</w:t>
      </w:r>
    </w:p>
    <w:bookmarkStart w:name="13ac8ae11851289787549b8df61544f1" w:id="17"/>
    <w:p>
      <w:pPr>
        <w:pStyle w:val="Heading2"/>
        <w:spacing w:before="199" w:after="199"/>
        <w:ind w:left="120"/>
        <w:jc w:val="left"/>
      </w:pPr>
      <w:r>
        <w:rPr>
          <w:rFonts w:ascii="Times New Roman" w:hAnsi="Times New Roman"/>
          <w:color w:val="000000"/>
        </w:rPr>
        <w:t>Quantitative und qualitative Ergebnisse</w:t>
      </w:r>
    </w:p>
    <w:bookmarkEnd w:id="17"/>
    <w:p>
      <w:pPr>
        <w:spacing w:before="269" w:after="269"/>
        <w:ind w:left="120"/>
        <w:jc w:val="left"/>
      </w:pPr>
      <w:r>
        <w:rPr>
          <w:rFonts w:ascii="Times New Roman" w:hAnsi="Times New Roman"/>
          <w:b w:val="false"/>
          <w:i w:val="false"/>
          <w:color w:val="000000"/>
          <w:sz w:val="22"/>
        </w:rPr>
        <w:t>Die Umfrage hat zum Ziel, den Stand der digitalen Barrierefreiheit an öffentlichen Hochschulen in Deutschland anhand verschiedener Fragenkategorien zu erfassen. Ebenso wie die Umfrage selbst, ist auch deren Auswertung in die vier Themenbereiche Allgemeine Fragen, Sicht auf Hochschulen, Sicht auf Studierende und Sicht auf Prozesse gegliedert. Ergänzt werden die vier Themenbereiche durch ein einleitendes Überblick-Kapitel.</w:t>
      </w:r>
    </w:p>
    <w:bookmarkStart w:name="6fc117f2bce97bf49cfe5058acaab266" w:id="18"/>
    <w:p>
      <w:pPr>
        <w:pStyle w:val="Heading3"/>
        <w:spacing w:before="269" w:after="269"/>
        <w:ind w:left="120"/>
        <w:jc w:val="left"/>
      </w:pPr>
      <w:r>
        <w:rPr>
          <w:rFonts w:ascii="Times New Roman" w:hAnsi="Times New Roman"/>
          <w:color w:val="000000"/>
        </w:rPr>
        <w:t>Überblick</w:t>
      </w:r>
    </w:p>
    <w:bookmarkEnd w:id="18"/>
    <w:p>
      <w:pPr>
        <w:spacing w:before="269" w:after="269"/>
        <w:ind w:left="120"/>
        <w:jc w:val="left"/>
      </w:pPr>
      <w:r>
        <w:rPr>
          <w:rFonts w:ascii="Times New Roman" w:hAnsi="Times New Roman"/>
          <w:b w:val="false"/>
          <w:i w:val="false"/>
          <w:color w:val="000000"/>
          <w:sz w:val="22"/>
        </w:rPr>
        <w:t>Bevor die Ergebnisse der einzelnen Themenbereiche im Detail betrachtet werden, soll zunächst ein Überblick über die Ergebnisse der quantitativen Umfrageergebnisse gegeben werden. Dazu wurden von den 22 Auswahlfragen alle jene Fragen betrachtet, die sich mit „Ja" oder „Nein" beantworten lassen und fachlich für die Einschätzung der digitalen Barrierefreiheit an den Hochschulen relevant sind, z. B.:</w:t>
      </w:r>
    </w:p>
    <w:p>
      <w:pPr>
        <w:numPr>
          <w:ilvl w:val="0"/>
          <w:numId w:val="12"/>
        </w:numPr>
        <w:spacing w:before="0" w:after="0"/>
        <w:jc w:val="left"/>
      </w:pPr>
      <w:r>
        <w:rPr>
          <w:rFonts w:ascii="Times New Roman" w:hAnsi="Times New Roman"/>
          <w:b w:val="false"/>
          <w:i w:val="false"/>
          <w:color w:val="000000"/>
          <w:sz w:val="22"/>
        </w:rPr>
        <w:t>„Gibt es an Ihrer Hochschule Gremien, Institutionen oder Organisationsstrukturen (Steuerungskreis, Arbeitsgruppe, Abteilungen usw.), die das Thema digitaler Barrierefreiheit regelmäßig bearbeiten?"</w:t>
      </w:r>
    </w:p>
    <w:p>
      <w:pPr>
        <w:numPr>
          <w:ilvl w:val="0"/>
          <w:numId w:val="12"/>
        </w:numPr>
        <w:spacing w:before="0" w:after="0"/>
        <w:jc w:val="left"/>
      </w:pPr>
      <w:r>
        <w:rPr>
          <w:rFonts w:ascii="Times New Roman" w:hAnsi="Times New Roman"/>
          <w:b w:val="false"/>
          <w:i w:val="false"/>
          <w:color w:val="000000"/>
          <w:sz w:val="22"/>
        </w:rPr>
        <w:t>„Gibt es an Ihrer Hochschule Forschungsinitiativen zum Thema digitaler Barrierefreiheit?"</w:t>
      </w:r>
    </w:p>
    <w:p>
      <w:pPr>
        <w:numPr>
          <w:ilvl w:val="0"/>
          <w:numId w:val="12"/>
        </w:numPr>
        <w:spacing w:before="0" w:after="0"/>
        <w:jc w:val="left"/>
      </w:pPr>
      <w:r>
        <w:rPr>
          <w:rFonts w:ascii="Times New Roman" w:hAnsi="Times New Roman"/>
          <w:b w:val="false"/>
          <w:i w:val="false"/>
          <w:color w:val="000000"/>
          <w:sz w:val="22"/>
        </w:rPr>
        <w:t>„Stehen Ihnen und/oder Ihren Mitarbeitenden Weiterbildungsangebote zum Thema digitaler Barrierefreiheit zur Verfügung?"</w:t>
      </w:r>
    </w:p>
    <w:p>
      <w:pPr>
        <w:numPr>
          <w:ilvl w:val="0"/>
          <w:numId w:val="12"/>
        </w:numPr>
        <w:spacing w:before="0" w:after="0"/>
        <w:jc w:val="left"/>
      </w:pPr>
      <w:r>
        <w:rPr>
          <w:rFonts w:ascii="Times New Roman" w:hAnsi="Times New Roman"/>
          <w:b w:val="false"/>
          <w:i w:val="false"/>
          <w:color w:val="000000"/>
          <w:sz w:val="22"/>
        </w:rPr>
        <w:t>usw.</w:t>
      </w:r>
    </w:p>
    <w:p>
      <w:pPr>
        <w:spacing w:before="269" w:after="269"/>
        <w:ind w:left="120"/>
        <w:jc w:val="left"/>
      </w:pPr>
      <w:r>
        <w:rPr>
          <w:rFonts w:ascii="Times New Roman" w:hAnsi="Times New Roman"/>
          <w:b w:val="false"/>
          <w:i w:val="false"/>
          <w:color w:val="000000"/>
          <w:sz w:val="22"/>
        </w:rPr>
        <w:t>Insgesamt wurden 18 fachliche Ja-/Nein-Fragen identifiziert, die einen Rückschluss auf die Umsetzung der digitalen Barrierefreiheit an den Hochschulen zulassen. Dabei sind alle Fragen so formuliert, dass die Antwort „Ja" als positiv und die Antwort „Nein" als negativ in Hinblick auf die digitale Barrierefreiheit gewertet werden können.</w:t>
      </w:r>
    </w:p>
    <w:p>
      <w:pPr>
        <w:spacing w:before="269" w:after="269"/>
        <w:ind w:left="120"/>
        <w:jc w:val="left"/>
      </w:pPr>
      <w:r>
        <w:rPr>
          <w:rFonts w:ascii="Times New Roman" w:hAnsi="Times New Roman"/>
          <w:b w:val="false"/>
          <w:i w:val="false"/>
          <w:color w:val="000000"/>
          <w:sz w:val="22"/>
        </w:rPr>
        <w:t>Vergleicht man, wie viele der 18 fachlichen Ja-/Nein-Fragen von den einzelnen Hochschulen positiv mit „Ja" beantwortet wurden, so zeigt sich folgendes Bild:</w:t>
      </w:r>
    </w:p>
    <w:p>
      <w:pPr>
        <w:spacing w:before="0" w:after="0"/>
        <w:ind w:left="120"/>
        <w:jc w:val="left"/>
      </w:pPr>
      <w:r>
        <w:drawing>
          <wp:inline distT="0" distB="0" distL="0" distR="0">
            <wp:extent cx="5732145" cy="4801002"/>
            <wp:effectExtent l="0" t="0" r="0" b="0"/>
            <wp:docPr id="2" name="" descr="Säulendiagramm veranschaulicht die Anzahl der von den Hochschulen positiv beantworteten Fragen (Details im nachfolgenden Text)"/>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32145" cy="4801002"/>
                    </a:xfrm>
                    <a:prstGeom prst="rect">
                      <a:avLst/>
                    </a:prstGeom>
                  </pic:spPr>
                </pic:pic>
              </a:graphicData>
            </a:graphic>
          </wp:inline>
        </w:drawing>
      </w:r>
    </w:p>
    <w:p>
      <w:pPr>
        <w:pStyle w:val="Caption"/>
        <w:spacing w:before="0" w:after="0"/>
        <w:ind w:left="120"/>
        <w:jc w:val="left"/>
      </w:pPr>
      <w:r>
        <w:t xml:space="preserve">Figure </w:t>
      </w:r>
      <w:fldSimple w:instr=" SEQ Figure  \* ARABIC ">
        <w:r>
          <w:t>1</w:t>
        </w:r>
      </w:fldSimple>
      <w:r>
        <w:rPr>
          <w:rFonts w:ascii="Times New Roman" w:hAnsi="Times New Roman"/>
        </w:rPr>
        <w:t>Abbildung 1: Wie viele der 18 fachlichen Ja-/Nein-Fragen wurden von wie vielen Hochschulen positiv mit „Ja" beantwortet?</w:t>
      </w:r>
    </w:p>
    <w:p>
      <w:pPr>
        <w:spacing w:before="269" w:after="269"/>
        <w:ind w:left="120"/>
        <w:jc w:val="left"/>
      </w:pPr>
      <w:r>
        <w:rPr>
          <w:rFonts w:ascii="Times New Roman" w:hAnsi="Times New Roman"/>
          <w:b w:val="false"/>
          <w:i w:val="false"/>
          <w:color w:val="000000"/>
          <w:sz w:val="22"/>
        </w:rPr>
        <w:t>Von den insgesamt 96 Hochschulen, die in die Umfrageauswertung eingehen, haben ...</w:t>
      </w:r>
    </w:p>
    <w:p>
      <w:pPr>
        <w:numPr>
          <w:ilvl w:val="0"/>
          <w:numId w:val="13"/>
        </w:numPr>
        <w:spacing w:before="0" w:after="0"/>
        <w:jc w:val="left"/>
      </w:pPr>
      <w:r>
        <w:rPr>
          <w:rFonts w:ascii="Times New Roman" w:hAnsi="Times New Roman"/>
          <w:b w:val="false"/>
          <w:i w:val="false"/>
          <w:color w:val="000000"/>
          <w:sz w:val="22"/>
        </w:rPr>
        <w:t>6 Hochschulen (6 %) 1 bis 3 Fragen positiv beantwortet</w:t>
      </w:r>
    </w:p>
    <w:p>
      <w:pPr>
        <w:numPr>
          <w:ilvl w:val="0"/>
          <w:numId w:val="13"/>
        </w:numPr>
        <w:spacing w:before="0" w:after="0"/>
        <w:jc w:val="left"/>
      </w:pPr>
      <w:r>
        <w:rPr>
          <w:rFonts w:ascii="Times New Roman" w:hAnsi="Times New Roman"/>
          <w:b w:val="false"/>
          <w:i w:val="false"/>
          <w:color w:val="000000"/>
          <w:sz w:val="22"/>
        </w:rPr>
        <w:t>11 Hochschulen (12 %) 4 bis 6 Fragen positiv beantwortet</w:t>
      </w:r>
    </w:p>
    <w:p>
      <w:pPr>
        <w:numPr>
          <w:ilvl w:val="0"/>
          <w:numId w:val="13"/>
        </w:numPr>
        <w:spacing w:before="0" w:after="0"/>
        <w:jc w:val="left"/>
      </w:pPr>
      <w:r>
        <w:rPr>
          <w:rFonts w:ascii="Times New Roman" w:hAnsi="Times New Roman"/>
          <w:b w:val="false"/>
          <w:i w:val="false"/>
          <w:color w:val="000000"/>
          <w:sz w:val="22"/>
        </w:rPr>
        <w:t>22 Hochschulen (23 %) 7 bis 9 Fragen positiv beantwortet</w:t>
      </w:r>
    </w:p>
    <w:p>
      <w:pPr>
        <w:numPr>
          <w:ilvl w:val="0"/>
          <w:numId w:val="13"/>
        </w:numPr>
        <w:spacing w:before="0" w:after="0"/>
        <w:jc w:val="left"/>
      </w:pPr>
      <w:r>
        <w:rPr>
          <w:rFonts w:ascii="Times New Roman" w:hAnsi="Times New Roman"/>
          <w:b w:val="false"/>
          <w:i w:val="false"/>
          <w:color w:val="000000"/>
          <w:sz w:val="22"/>
        </w:rPr>
        <w:t>26 Hochschulen (27 %) 10 bis 12 Fragen positiv beantwortet</w:t>
      </w:r>
    </w:p>
    <w:p>
      <w:pPr>
        <w:numPr>
          <w:ilvl w:val="0"/>
          <w:numId w:val="13"/>
        </w:numPr>
        <w:spacing w:before="0" w:after="0"/>
        <w:jc w:val="left"/>
      </w:pPr>
      <w:r>
        <w:rPr>
          <w:rFonts w:ascii="Times New Roman" w:hAnsi="Times New Roman"/>
          <w:b w:val="false"/>
          <w:i w:val="false"/>
          <w:color w:val="000000"/>
          <w:sz w:val="22"/>
        </w:rPr>
        <w:t>26 Hochschulen (27 %) 13 bis 15 Fragen positiv beantwortet</w:t>
      </w:r>
    </w:p>
    <w:p>
      <w:pPr>
        <w:numPr>
          <w:ilvl w:val="0"/>
          <w:numId w:val="13"/>
        </w:numPr>
        <w:spacing w:before="0" w:after="0"/>
        <w:jc w:val="left"/>
      </w:pPr>
      <w:r>
        <w:rPr>
          <w:rFonts w:ascii="Times New Roman" w:hAnsi="Times New Roman"/>
          <w:b w:val="false"/>
          <w:i w:val="false"/>
          <w:color w:val="000000"/>
          <w:sz w:val="22"/>
        </w:rPr>
        <w:t>5 Hochschulen (5 %) 16 bis 18 Fragen positiv beantwortet</w:t>
      </w:r>
    </w:p>
    <w:p>
      <w:pPr>
        <w:spacing w:before="269" w:after="269"/>
        <w:ind w:left="120"/>
        <w:jc w:val="left"/>
      </w:pPr>
      <w:r>
        <w:rPr>
          <w:rFonts w:ascii="Times New Roman" w:hAnsi="Times New Roman"/>
          <w:b w:val="false"/>
          <w:i w:val="false"/>
          <w:color w:val="000000"/>
          <w:sz w:val="22"/>
        </w:rPr>
        <w:t>Dazu sei angemerkt, dass die Anzahl der positiven Antworten allein noch keinen objektiven Rückschluss auf die tatsächliche Umsetzung digitaler Barrierefreiheit – an einzelnen Hochschulen, aber auch insgesamt – zulässt (siehe Anmerkungen im Kapitel „Grenzen der Umfrageergebnisse). Sie liefern jedoch einen ersten Eindruck hinsichtlich der Selbsteinschätzung der Hochschulen zu den in der Umfrage gestellten quantitativen Fragen.</w:t>
      </w:r>
    </w:p>
    <w:p>
      <w:pPr>
        <w:spacing w:before="269" w:after="269"/>
        <w:ind w:left="120"/>
        <w:jc w:val="left"/>
      </w:pPr>
      <w:r>
        <w:rPr>
          <w:rFonts w:ascii="Times New Roman" w:hAnsi="Times New Roman"/>
          <w:b w:val="false"/>
          <w:i w:val="false"/>
          <w:color w:val="000000"/>
          <w:sz w:val="22"/>
        </w:rPr>
        <w:t>Daran anknüpfend stellt sich die Frage, ob es Hinweise darauf gibt, welche Hochschulen besonders viele oder auch besonders wenig Fragen positiv beantworten. Aus diesem Grund wurde weiterhin untersucht, wie sich die Anzahl positiver Antworten auf die unterschiedlichen Hochschularten verteilt. Dabei lassen sich leichte Tendenzen erkennen. So bewegen sich die Fachhochschulen / Hochschulen für Angewandte Wissenschaften mit durchschnittlich 9,0 positiv beantworteten Fragen eher im Mittelfeld. Die Selbsteinschätzung der Universitäten fällt mit durchschnittlich 12,5 positiven Antworten etwas besser aus. Die Selbsteinschätzungen von Pädagogischen Hochschulen (durchschnittlich 8,0 positive Antworten), Künstlerischen Hochschulen (durchschnittlich 7,1 positive Antworten) und Sonstigen Hochschulen (durchschnittlich 5,3 positive Antworten) schneiden tendenziell eher etwas schlechter ab, wobei jedoch anzumerken ist, dass insbesondere die Pädagogischen und Sonstigen Hochschulen in der Umfrage zahlenmäßig weniger vertreten waren, was die Repräsentanz und Verallgemeinerbarkeit einschränkt.</w:t>
      </w:r>
    </w:p>
    <w:p>
      <w:pPr>
        <w:spacing w:before="0" w:after="0"/>
        <w:ind w:left="120"/>
        <w:jc w:val="left"/>
      </w:pPr>
      <w:r>
        <w:drawing>
          <wp:inline distT="0" distB="0" distL="0" distR="0">
            <wp:extent cx="5732145" cy="4812089"/>
            <wp:effectExtent l="0" t="0" r="0" b="0"/>
            <wp:docPr id="3" name="" descr="Gestapeltes Säulendiagramm veranschaulicht die Anzahl der von den Hochschulen positiv beantworteten Fragen - nach Hochschulart (Details in der nachfolgenden Tabelle)"/>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32145" cy="4812089"/>
                    </a:xfrm>
                    <a:prstGeom prst="rect">
                      <a:avLst/>
                    </a:prstGeom>
                  </pic:spPr>
                </pic:pic>
              </a:graphicData>
            </a:graphic>
          </wp:inline>
        </w:drawing>
      </w:r>
    </w:p>
    <w:p>
      <w:pPr>
        <w:pStyle w:val="Caption"/>
        <w:spacing w:before="0" w:after="0"/>
        <w:ind w:left="120"/>
        <w:jc w:val="left"/>
      </w:pPr>
      <w:r>
        <w:t xml:space="preserve">Figure </w:t>
      </w:r>
      <w:fldSimple w:instr=" SEQ Figure  \* ARABIC ">
        <w:r>
          <w:t>2</w:t>
        </w:r>
      </w:fldSimple>
      <w:r>
        <w:rPr>
          <w:rFonts w:ascii="Times New Roman" w:hAnsi="Times New Roman"/>
        </w:rPr>
        <w:t>Abbildung 2: Wie viele der 18 fachlichen Ja-/Nein-Fragen wurden von den Hochschulen der unterschiedlichen Arten positiv mit „Ja“ beantwortet? Die im Säulendiagramm verwendeten Abkürzungen stehen für die unterschiedlichen Hochschularten: FH = Fachhochschule / Hochschule für Angewandte Wissenschaften, Uni = Universität, KH = Künstlerische Hochschule, PH = Pädagogische Hochschule, SH = Sonstige Hochschule</w:t>
      </w:r>
    </w:p>
    <w:tbl>
      <w:tblPr>
        <w:tblW w:w="0" w:type="auto"/>
        <w:tblCellSpacing w:w="20" w:type="dxa"/>
        <w:tblBorders>
          <w:top w:val="none"/>
          <w:left w:val="none"/>
          <w:bottom w:val="none"/>
          <w:right w:val="none"/>
          <w:insideH w:val="none"/>
          <w:insideV w:val="none"/>
        </w:tblBorders>
      </w:tblPr>
      <w:tblGrid>
        <w:gridCol w:w="3628"/>
        <w:gridCol w:w="952"/>
        <w:gridCol w:w="952"/>
        <w:gridCol w:w="952"/>
        <w:gridCol w:w="1272"/>
        <w:gridCol w:w="1272"/>
        <w:gridCol w:w="1272"/>
      </w:tblGrid>
      <w:tr>
        <w:trPr>
          <w:trHeight w:val="300" w:hRule="atLeast"/>
        </w:trPr>
        <w:tc>
          <w:tcPr>
            <w:tcW w:w="3628" w:type="dxa"/>
            <w:vMerge w:val="restart"/>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Art der Hochschule</w:t>
            </w:r>
          </w:p>
        </w:tc>
        <w:tc>
          <w:tcPr>
            <w:tcW w:w="0" w:type="auto"/>
            <w:gridSpan w:val="6"/>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Anzahl der positiv beantworteten Fragen</w:t>
            </w:r>
          </w:p>
        </w:tc>
      </w:tr>
      <w:tr>
        <w:trPr>
          <w:trHeight w:val="300" w:hRule="atLeast"/>
        </w:trPr>
        <w:tc>
          <w:tcPr>
            <w:tcW w:w="0" w:type="auto"/>
            <w:vMerge/>
            <w:tcBorders>
              <w:top w:val="nil"/>
            </w:tcBorders>
          </w:tcP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1 bis 3</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4 bis 6</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7 bis 9</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10 bis 12</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13 bis 15</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16 bis 18</w:t>
            </w:r>
          </w:p>
        </w:tc>
      </w:tr>
      <w:tr>
        <w:trPr>
          <w:trHeight w:val="300" w:hRule="atLeast"/>
        </w:trPr>
        <w:tc>
          <w:tcPr>
            <w:tcW w:w="3628"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Fachhochschule /HAW</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2</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6</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16</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10</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5</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r>
      <w:tr>
        <w:trPr>
          <w:trHeight w:val="300" w:hRule="atLeast"/>
        </w:trPr>
        <w:tc>
          <w:tcPr>
            <w:tcW w:w="3628"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Universität</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2</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2</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12</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20</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4</w:t>
            </w:r>
          </w:p>
        </w:tc>
      </w:tr>
      <w:tr>
        <w:trPr>
          <w:trHeight w:val="300" w:hRule="atLeast"/>
        </w:trPr>
        <w:tc>
          <w:tcPr>
            <w:tcW w:w="3628"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Künstlerische Hochschule</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2</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4</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2</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r>
      <w:tr>
        <w:trPr>
          <w:trHeight w:val="300" w:hRule="atLeast"/>
        </w:trPr>
        <w:tc>
          <w:tcPr>
            <w:tcW w:w="3628"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Pädagogische Hochschule</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r>
      <w:tr>
        <w:trPr>
          <w:trHeight w:val="300" w:hRule="atLeast"/>
        </w:trPr>
        <w:tc>
          <w:tcPr>
            <w:tcW w:w="3628"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Sonstige Hochschule</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r>
    </w:tbl>
    <w:p>
      <w:pPr>
        <w:spacing w:before="269" w:after="269"/>
        <w:ind w:left="120"/>
        <w:jc w:val="left"/>
      </w:pPr>
      <w:r>
        <w:rPr>
          <w:rFonts w:ascii="Times New Roman" w:hAnsi="Times New Roman"/>
          <w:b w:val="false"/>
          <w:i w:val="false"/>
          <w:color w:val="000000"/>
          <w:sz w:val="22"/>
        </w:rPr>
        <w:t>Eine Auswertung der fachlichen Ja-/Nein-Fragen nach Bundesland wird an dieser Stelle nicht vorgenommen. Zwar wäre es interessant zu wissen, ob es Unterschiede in der Selbsteinschätzung der Hochschulen unterschiedlicher Bundesländer gibt, da dies ggf. Rückschlüsse auf die föderalen Rahmenbedingungen zulassen könnte. Da es jedoch mehrere Bundesländer gibt, die in der Umfrage durch lediglich ein oder zwei Hochschulen repräsentiert werden, ist eine aussagekräftige Auswertung hierzu nicht möglich.</w:t>
      </w:r>
    </w:p>
    <w:bookmarkStart w:name="772af87adfde7f745a51017e787cf3f9" w:id="19"/>
    <w:p>
      <w:pPr>
        <w:pStyle w:val="Heading3"/>
        <w:spacing w:before="269" w:after="269"/>
        <w:ind w:left="120"/>
        <w:jc w:val="left"/>
      </w:pPr>
      <w:r>
        <w:rPr>
          <w:rFonts w:ascii="Times New Roman" w:hAnsi="Times New Roman"/>
          <w:color w:val="000000"/>
        </w:rPr>
        <w:t>Themenbereich: Allgemeine Fragen</w:t>
      </w:r>
    </w:p>
    <w:bookmarkEnd w:id="19"/>
    <w:p>
      <w:pPr>
        <w:spacing w:before="269" w:after="269"/>
        <w:ind w:left="120"/>
        <w:jc w:val="left"/>
      </w:pPr>
      <w:r>
        <w:rPr>
          <w:rFonts w:ascii="Times New Roman" w:hAnsi="Times New Roman"/>
          <w:b w:val="false"/>
          <w:i w:val="false"/>
          <w:color w:val="000000"/>
          <w:sz w:val="22"/>
        </w:rPr>
        <w:t>Die Umfrage wurde von Personen aus unterschiedlichen Bereichen der Hochschulen ausgefüllt. Die Teilnehmenden konnten angeben, welche Rolle sie an ihrer Hochschule innehaben. 9 % geben an, Inklusionsbeauftragte zu sein, 8 % Mitarbeitende in Serviceeinrichtungen, 6 % Mitarbeitende für digitale Barrierefreiheit, 1 % Gleichstellungsbeauftragte und 1 % geben an, Lehrende zu sein. Den größten Anteil bildet jedoch die Kategorie „Sonstiges" mit 74 %.</w:t>
      </w:r>
    </w:p>
    <w:p>
      <w:pPr>
        <w:spacing w:before="269" w:after="269"/>
        <w:ind w:left="120"/>
        <w:jc w:val="left"/>
      </w:pPr>
      <w:r>
        <w:rPr>
          <w:rFonts w:ascii="Times New Roman" w:hAnsi="Times New Roman"/>
          <w:b w:val="false"/>
          <w:i w:val="false"/>
          <w:color w:val="000000"/>
          <w:sz w:val="22"/>
        </w:rPr>
        <w:t>Die unter „Sonstiges“ zusammengefassten Angaben lassen sich in 34 verschiedene Bereiche gliedern. Am häufigsten wurde dabei die Rolle der Beauftragten für Studierende mit Behinderung oder chronischer Erkrankung genannt (17 Nennungen), gefolgt von Funktionen im Bereich Digitalisierung (11 Nennungen), Chancengleichheit/ Diversität/ Familie (8 Nennungen), Schwerbehindertenvertretung (6 Nennungen) sowie Marketing/ Öffentlichkeitsarbeit/ Presse/ Kommunikation (ebenfalls 6 Nennungen).</w:t>
      </w:r>
    </w:p>
    <w:bookmarkStart w:name="262efc1fd486ac926918429450812fa3" w:id="20"/>
    <w:p>
      <w:pPr>
        <w:pStyle w:val="Heading3"/>
        <w:spacing w:before="269" w:after="269"/>
        <w:ind w:left="120"/>
        <w:jc w:val="left"/>
      </w:pPr>
      <w:r>
        <w:rPr>
          <w:rFonts w:ascii="Times New Roman" w:hAnsi="Times New Roman"/>
          <w:color w:val="000000"/>
        </w:rPr>
        <w:t>Themenbereich: Sicht auf Hochschulen</w:t>
      </w:r>
    </w:p>
    <w:bookmarkEnd w:id="20"/>
    <w:bookmarkStart w:name="ce896b74b4e1e111d8b3ddd380c7b714" w:id="21"/>
    <w:p>
      <w:pPr>
        <w:pStyle w:val="Heading4"/>
        <w:spacing w:before="360" w:after="360"/>
        <w:ind w:left="120"/>
        <w:jc w:val="left"/>
      </w:pPr>
      <w:r>
        <w:rPr>
          <w:rFonts w:ascii="Times New Roman" w:hAnsi="Times New Roman"/>
          <w:i w:val="false"/>
          <w:color w:val="000000"/>
          <w:sz w:val="18"/>
        </w:rPr>
        <w:t>Gremien, Institutionen und Organisationsstrukturen</w:t>
      </w:r>
    </w:p>
    <w:bookmarkEnd w:id="21"/>
    <w:p>
      <w:pPr>
        <w:spacing w:before="269" w:after="269"/>
        <w:ind w:left="120"/>
        <w:jc w:val="left"/>
      </w:pPr>
      <w:r>
        <w:rPr>
          <w:rFonts w:ascii="Times New Roman" w:hAnsi="Times New Roman"/>
          <w:b w:val="false"/>
          <w:i w:val="false"/>
          <w:color w:val="000000"/>
          <w:sz w:val="22"/>
        </w:rPr>
        <w:t>Im Themenbereich „Sicht auf Hochschulen“ geben 62,5 % der Hochschulen an, dass an ihrer Einrichtung Gremien, Institutionen oder organisatorische Strukturen existieren, die sich regelmäßig mit dem Thema der digitalen Barrierefreiheit beschäftigen. Dazu zählen etwa Steuerungskreise, Arbeitsgruppen oder spezialisierte Abteilungen.</w:t>
      </w:r>
    </w:p>
    <w:p>
      <w:pPr>
        <w:spacing w:before="269" w:after="269"/>
        <w:ind w:left="120"/>
        <w:jc w:val="left"/>
      </w:pPr>
      <w:r>
        <w:rPr>
          <w:rFonts w:ascii="Times New Roman" w:hAnsi="Times New Roman"/>
          <w:b w:val="false"/>
          <w:i w:val="false"/>
          <w:color w:val="000000"/>
          <w:sz w:val="22"/>
        </w:rPr>
        <w:t>Die Mehrheit der Hochschulen verfügt demnach bereits über feste Strukturen, die sich regelmäßig mit digitaler Barrierefreiheit befassen. Damit ist das Thema an einer deutlichen Mehrheit der Einrichtungen organisatorisch verankert.</w:t>
      </w:r>
    </w:p>
    <w:p>
      <w:pPr>
        <w:spacing w:before="269" w:after="269"/>
        <w:ind w:left="120"/>
        <w:jc w:val="left"/>
      </w:pPr>
      <w:r>
        <w:rPr>
          <w:rFonts w:ascii="Times New Roman" w:hAnsi="Times New Roman"/>
          <w:b w:val="false"/>
          <w:i w:val="false"/>
          <w:color w:val="000000"/>
          <w:sz w:val="22"/>
        </w:rPr>
        <w:t>Gleichzeitig zeigen die 37,5 % ohne entsprechende Strukturen, dass an einigen Hochschulen derzeit keine formalisierte Zuständigkeit für digitale Barrierefreiheit besteht.</w:t>
      </w:r>
    </w:p>
    <w:p>
      <w:pPr>
        <w:spacing w:before="0" w:after="0"/>
        <w:ind w:left="120"/>
        <w:jc w:val="left"/>
      </w:pPr>
      <w:r>
        <w:drawing>
          <wp:inline distT="0" distB="0" distL="0" distR="0">
            <wp:extent cx="4476750" cy="3667125"/>
            <wp:effectExtent l="0" t="0" r="0" b="0"/>
            <wp:docPr id="4" name="" descr="Kreisdiagramm: 60 Ja (62,5 %) und 36 Nein (37,5 %)"/>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76750" cy="3667125"/>
                    </a:xfrm>
                    <a:prstGeom prst="rect">
                      <a:avLst/>
                    </a:prstGeom>
                  </pic:spPr>
                </pic:pic>
              </a:graphicData>
            </a:graphic>
          </wp:inline>
        </w:drawing>
      </w:r>
    </w:p>
    <w:p>
      <w:pPr>
        <w:pStyle w:val="Caption"/>
        <w:spacing w:before="0" w:after="0"/>
        <w:ind w:left="120"/>
        <w:jc w:val="left"/>
      </w:pPr>
      <w:r>
        <w:t xml:space="preserve">Figure </w:t>
      </w:r>
      <w:fldSimple w:instr=" SEQ Figure  \* ARABIC ">
        <w:r>
          <w:t>3</w:t>
        </w:r>
      </w:fldSimple>
      <w:r>
        <w:rPr>
          <w:rFonts w:ascii="Times New Roman" w:hAnsi="Times New Roman"/>
        </w:rPr>
        <w:t>Abbildung 3: Gibt es an Ihrer Hochschule Gremien, Institutionen oder Organisationsstrukturen, die das Thema digitaler Barrierefreiheit regelmäßig bearbeiten?</w:t>
      </w:r>
    </w:p>
    <w:p>
      <w:pPr>
        <w:spacing w:before="269" w:after="269"/>
        <w:ind w:left="120"/>
        <w:jc w:val="left"/>
      </w:pPr>
      <w:r>
        <w:rPr>
          <w:rFonts w:ascii="Times New Roman" w:hAnsi="Times New Roman"/>
          <w:b w:val="false"/>
          <w:i w:val="false"/>
          <w:color w:val="000000"/>
          <w:sz w:val="22"/>
        </w:rPr>
        <w:t>Die qualitative Auswertung der Umfrageergebnisse zeigt, dass das Thema digitale Barrierefreiheit an den Hochschulen in unterschiedlichen organisatorischen Strukturen verankert ist. Am häufigsten wird das Thema in Ausschüssen (33 Nennungen) behandelt. Ebenfalls häufig genannt werden Beauftragte oder Beauftragungen (26) sowie Abteilungen oder Zentren für Studium und Lehre (22).</w:t>
      </w:r>
    </w:p>
    <w:p>
      <w:pPr>
        <w:spacing w:before="269" w:after="269"/>
        <w:ind w:left="120"/>
        <w:jc w:val="left"/>
      </w:pPr>
      <w:r>
        <w:rPr>
          <w:rFonts w:ascii="Times New Roman" w:hAnsi="Times New Roman"/>
          <w:b w:val="false"/>
          <w:i w:val="false"/>
          <w:color w:val="000000"/>
          <w:sz w:val="22"/>
        </w:rPr>
        <w:t>Danach folgen IT-Verantwortliche (10), Stabsstellen (8) und die Hochschulleitung (8). Seltener sind Fakultäten oder Fachbereiche (7), Kompetenzzentren (7), Netzwerke (6), Kontakt-, Beratungs- und Informationsstellen (6) oder Projekte (6) direkt mit dem Thema befasst.</w:t>
      </w:r>
    </w:p>
    <w:p>
      <w:pPr>
        <w:spacing w:before="269" w:after="269"/>
        <w:ind w:left="120"/>
        <w:jc w:val="left"/>
      </w:pPr>
      <w:r>
        <w:rPr>
          <w:rFonts w:ascii="Times New Roman" w:hAnsi="Times New Roman"/>
          <w:b w:val="false"/>
          <w:i w:val="false"/>
          <w:color w:val="000000"/>
          <w:sz w:val="22"/>
        </w:rPr>
        <w:t>Vereinzelt wird digitale Barrierefreiheit als Querschnittsthema (3), in Landesarbeitsgemeinschaften (2) oder im Rahmen eines Aktionsplans (1) genannt.</w:t>
      </w:r>
    </w:p>
    <w:p>
      <w:pPr>
        <w:spacing w:before="269" w:after="269"/>
        <w:ind w:left="120"/>
        <w:jc w:val="left"/>
      </w:pPr>
      <w:r>
        <w:rPr>
          <w:rFonts w:ascii="Times New Roman" w:hAnsi="Times New Roman"/>
          <w:b w:val="false"/>
          <w:i w:val="false"/>
          <w:color w:val="000000"/>
          <w:sz w:val="22"/>
        </w:rPr>
        <w:t>Die Ergebnisse verdeutlichen, dass digitale Barrierefreiheit an den meisten Hochschulen in bestehende Gremien- und Verwaltungsstrukturen eingebunden ist, wobei Ausschüsse und Beauftragte eine zentrale Rolle spielen. Gleichzeitig zeigt die Vielfalt der genannten Strukturen, dass es keine einheitliche organisatorische Verankerung gibt – Hochschulen wählen unterschiedliche Ansätze, um das Thema zu bearbeiten und institutionell zu betreuen.</w:t>
      </w:r>
    </w:p>
    <w:bookmarkStart w:name="16fdd5989d2587d3999fa8bc43415966" w:id="22"/>
    <w:p>
      <w:pPr>
        <w:pStyle w:val="Heading4"/>
        <w:spacing w:before="360" w:after="360"/>
        <w:ind w:left="120"/>
        <w:jc w:val="left"/>
      </w:pPr>
      <w:r>
        <w:rPr>
          <w:rFonts w:ascii="Times New Roman" w:hAnsi="Times New Roman"/>
          <w:i w:val="false"/>
          <w:color w:val="000000"/>
          <w:sz w:val="18"/>
        </w:rPr>
        <w:t>Prüfung der digitalen Infrastruktur</w:t>
      </w:r>
    </w:p>
    <w:bookmarkEnd w:id="22"/>
    <w:p>
      <w:pPr>
        <w:spacing w:before="269" w:after="269"/>
        <w:ind w:left="120"/>
        <w:jc w:val="left"/>
      </w:pPr>
      <w:r>
        <w:rPr>
          <w:rFonts w:ascii="Times New Roman" w:hAnsi="Times New Roman"/>
          <w:b w:val="false"/>
          <w:i w:val="false"/>
          <w:color w:val="000000"/>
          <w:sz w:val="22"/>
        </w:rPr>
        <w:t>Die Antworten auf die Frage, wer für die Prüfung der Barrierefreiheit der digitalen Infrastruktur (z. B. Webauftritte der Hochschule) verantwortlich ist, verdeutlichen die unterschiedlich organisierten Ansätze des Themas digitale Barrierefreiheit an den Hochschulen. Denn auch die Prüfung der digitalen Barrierefreiheit fällt in den Hochschulen in ein breites Spektrum an Zuständigkeiten.</w:t>
      </w:r>
    </w:p>
    <w:p>
      <w:pPr>
        <w:spacing w:before="269" w:after="269"/>
        <w:ind w:left="120"/>
        <w:jc w:val="left"/>
      </w:pPr>
      <w:r>
        <w:rPr>
          <w:rFonts w:ascii="Times New Roman" w:hAnsi="Times New Roman"/>
          <w:b w:val="false"/>
          <w:i w:val="false"/>
          <w:color w:val="000000"/>
          <w:sz w:val="22"/>
        </w:rPr>
        <w:t>Am häufigsten für die Prüfung der digitalen Barrierefreiheit wird die Abteilung Hochschulkommunikation bzw. Marketing (29 Nennungen) genannt. Demnach liegt die Zuständigkeit der Überwachung der digitalen Barrierefreiheit überwiegend in Bereichen der Hochschulen, die für die Webauftritte und öffentliche Kommunikation verantwortlich sind.</w:t>
      </w:r>
    </w:p>
    <w:p>
      <w:pPr>
        <w:spacing w:before="269" w:after="269"/>
        <w:ind w:left="120"/>
        <w:jc w:val="left"/>
      </w:pPr>
      <w:r>
        <w:rPr>
          <w:rFonts w:ascii="Times New Roman" w:hAnsi="Times New Roman"/>
          <w:b w:val="false"/>
          <w:i w:val="false"/>
          <w:color w:val="000000"/>
          <w:sz w:val="22"/>
        </w:rPr>
        <w:t>Neben der Hochschulkommunikation bzw. Marketing werden auch das Webmanagement (14), benannte Einzelpersonen (12) sowie die IT-Abteilung (11) häufig als zuständige Einheiten genannt. Dies zeigt, dass die Verantwortung für die Prüfung digitaler Barrierefreiheit häufig zwischen technisch‑operativen und personengebundenen Zuständigkeiten verteilt ist.</w:t>
      </w:r>
    </w:p>
    <w:p>
      <w:pPr>
        <w:spacing w:before="269" w:after="269"/>
        <w:ind w:left="120"/>
        <w:jc w:val="left"/>
      </w:pPr>
      <w:r>
        <w:rPr>
          <w:rFonts w:ascii="Times New Roman" w:hAnsi="Times New Roman"/>
          <w:b w:val="false"/>
          <w:i w:val="false"/>
          <w:color w:val="000000"/>
          <w:sz w:val="22"/>
        </w:rPr>
        <w:t>Ein Teil der Hochschulen gibt an, dass die Verantwortung für die Prüfung der digitalen Barrierefreiheit in ihrer Institution dezentral geregelt (8) oder nicht vergeben (8) ist. Zudem ist bei fünf Hochschulen die Zuständigkeit nicht bekannt.</w:t>
      </w:r>
    </w:p>
    <w:p>
      <w:pPr>
        <w:spacing w:before="269" w:after="269"/>
        <w:ind w:left="120"/>
        <w:jc w:val="left"/>
      </w:pPr>
      <w:r>
        <w:rPr>
          <w:rFonts w:ascii="Times New Roman" w:hAnsi="Times New Roman"/>
          <w:b w:val="false"/>
          <w:i w:val="false"/>
          <w:color w:val="000000"/>
          <w:sz w:val="22"/>
        </w:rPr>
        <w:t>Weitere, weniger häufig genannte Zuständigkeiten betreffen unter anderem Pressereferate (4), externe Stellen (4), Einrichtungen für Barrierefreiheit (3) und die Hochschulleitung (3). Einzelne Hochschulen nennen zudem bestimmte Organisationseinheiten oder dedizierte Bereiche, die regelmäßig mit Fragen der digitalen Barrierefreiheit befasst sind wie Arbeitsgruppen, Inklusionsbeauftragte, Überwachungsstelle des Landes oder Abteilungen mit Querschnittsaufgaben (z. B. Nachhaltigkeit, Strategie, Diversität).</w:t>
      </w:r>
    </w:p>
    <w:p>
      <w:pPr>
        <w:spacing w:before="269" w:after="269"/>
        <w:ind w:left="120"/>
        <w:jc w:val="left"/>
      </w:pPr>
      <w:r>
        <w:rPr>
          <w:rFonts w:ascii="Times New Roman" w:hAnsi="Times New Roman"/>
          <w:b w:val="false"/>
          <w:i w:val="false"/>
          <w:color w:val="000000"/>
          <w:sz w:val="22"/>
        </w:rPr>
        <w:t>Die Ergebnisse zeigen, dass es keine einheitliche Zuständigkeitsstruktur für die Prüfung digitaler Barrierefreiheit an den Hochschulen gibt. Häufig liegt die Verantwortung bei Kommunikations- oder IT-nahen Bereichen, während an anderen Hochschulen individuelle oder dezentrale Lösungen bestehen. Der Anteil der Einrichtungen ohne klare Zuständigkeit oder mit unbekannter Verantwortlichkeit deutet darauf hin, dass das Thema an einigen Hochschulen noch nicht systematisch in der Organisationsstruktur verankert ist.</w:t>
      </w:r>
    </w:p>
    <w:bookmarkStart w:name="2a20bbf1b9a6c21325eaaad1076560ff" w:id="23"/>
    <w:p>
      <w:pPr>
        <w:pStyle w:val="Heading4"/>
        <w:spacing w:before="360" w:after="360"/>
        <w:ind w:left="120"/>
        <w:jc w:val="left"/>
      </w:pPr>
      <w:r>
        <w:rPr>
          <w:rFonts w:ascii="Times New Roman" w:hAnsi="Times New Roman"/>
          <w:i w:val="false"/>
          <w:color w:val="000000"/>
          <w:sz w:val="18"/>
        </w:rPr>
        <w:t>Forschungsinitiativen</w:t>
      </w:r>
    </w:p>
    <w:bookmarkEnd w:id="23"/>
    <w:p>
      <w:pPr>
        <w:spacing w:before="269" w:after="269"/>
        <w:ind w:left="120"/>
        <w:jc w:val="left"/>
      </w:pPr>
      <w:r>
        <w:rPr>
          <w:rFonts w:ascii="Times New Roman" w:hAnsi="Times New Roman"/>
          <w:b w:val="false"/>
          <w:i w:val="false"/>
          <w:color w:val="000000"/>
          <w:sz w:val="22"/>
        </w:rPr>
        <w:t>70 % der Hochschulen berichten, dass sie derzeit keine Forschungsinitiativen im Bereich digitaler Barrierefreiheit verfolgen. Forschungsaktivitäten bestehen somit nur an einer Minderheit der Einrichtungen.</w:t>
      </w:r>
    </w:p>
    <w:p>
      <w:pPr>
        <w:spacing w:before="0" w:after="0"/>
        <w:ind w:left="120"/>
        <w:jc w:val="left"/>
      </w:pPr>
      <w:r>
        <w:drawing>
          <wp:inline distT="0" distB="0" distL="0" distR="0">
            <wp:extent cx="4476750" cy="3600450"/>
            <wp:effectExtent l="0" t="0" r="0" b="0"/>
            <wp:docPr id="5" name="" descr="Kreisdiagramm: 29 Ja (30 %) und 67 Nein (70 %)"/>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76750" cy="3600450"/>
                    </a:xfrm>
                    <a:prstGeom prst="rect">
                      <a:avLst/>
                    </a:prstGeom>
                  </pic:spPr>
                </pic:pic>
              </a:graphicData>
            </a:graphic>
          </wp:inline>
        </w:drawing>
      </w:r>
    </w:p>
    <w:p>
      <w:pPr>
        <w:pStyle w:val="Caption"/>
        <w:spacing w:before="0" w:after="0"/>
        <w:ind w:left="120"/>
        <w:jc w:val="left"/>
      </w:pPr>
      <w:r>
        <w:t xml:space="preserve">Figure </w:t>
      </w:r>
      <w:fldSimple w:instr=" SEQ Figure  \* ARABIC ">
        <w:r>
          <w:t>4</w:t>
        </w:r>
      </w:fldSimple>
      <w:r>
        <w:rPr>
          <w:rFonts w:ascii="Times New Roman" w:hAnsi="Times New Roman"/>
        </w:rPr>
        <w:t>Abbildung 4: Gibt es an Ihrer Hochschule Forschungsinitiativen zum Thema digitaler Barrierefreiheit?</w:t>
      </w:r>
    </w:p>
    <w:p>
      <w:pPr>
        <w:spacing w:before="269" w:after="269"/>
        <w:ind w:left="120"/>
        <w:jc w:val="left"/>
      </w:pPr>
      <w:r>
        <w:rPr>
          <w:rFonts w:ascii="Times New Roman" w:hAnsi="Times New Roman"/>
          <w:b w:val="false"/>
          <w:i w:val="false"/>
          <w:color w:val="000000"/>
          <w:sz w:val="22"/>
        </w:rPr>
        <w:t>Die genannten Forschungsinitiativen befassen sich mit verschiedenen thematischen Schwerpunkten. Am häufigsten werden Forschungsprojekte zur barrierefreien Lehre und Lernen (9 Nennungen) genannt. Ebenfalls mehrfach erwähnt werden Forschungsinitiativen zur digitalen Barrierefreiheit im Allgemeinen (6) sowie assistiven Technologien und Künstlicher Intelligenz (6). Weitere Themenfelder sind Mensch-Computer-Interaktion (5) und Inklusion (4).</w:t>
      </w:r>
    </w:p>
    <w:p>
      <w:pPr>
        <w:spacing w:before="269" w:after="269"/>
        <w:ind w:left="120"/>
        <w:jc w:val="left"/>
      </w:pPr>
      <w:r>
        <w:rPr>
          <w:rFonts w:ascii="Times New Roman" w:hAnsi="Times New Roman"/>
          <w:b w:val="false"/>
          <w:i w:val="false"/>
          <w:color w:val="000000"/>
          <w:sz w:val="22"/>
        </w:rPr>
        <w:t>Weniger häufig an den Hochschulen sind Forschungsinitiativen zu barrierefreier Kommunikation (3), barrierefreier Navigation (3), Virtual und Augmented Reality (2) sowie den Themen barrierefreies Gaming, barrierefreie Publikationen, barrierefreie Gesetzessammlungen oder (audio)taktile Informationsvermittlung (jeweils 1 Nennung).</w:t>
      </w:r>
    </w:p>
    <w:p>
      <w:pPr>
        <w:spacing w:before="269" w:after="269"/>
        <w:ind w:left="120"/>
        <w:jc w:val="left"/>
      </w:pPr>
      <w:r>
        <w:rPr>
          <w:rFonts w:ascii="Times New Roman" w:hAnsi="Times New Roman"/>
          <w:b w:val="false"/>
          <w:i w:val="false"/>
          <w:color w:val="000000"/>
          <w:sz w:val="22"/>
        </w:rPr>
        <w:t>Die Ergebnisse zeigen, dass Forschungsaktivitäten zur digitalen Barrierefreiheit an Hochschulen derzeit in unterschiedlichem Umfang und mit verschiedenen thematischen Ausrichtungen stattfinden. Ein Schwerpunkt liegt auf Projekten zur barrierefreien Gestaltung von Lehr- und Lernprozessen sowie auf technologischen Ansätzen. Spezialisierte Themenbereiche sind bisher nur selten im Fokus der Forschung.</w:t>
      </w:r>
    </w:p>
    <w:bookmarkStart w:name="650e26572c0ae9467747be3320fec7aa" w:id="24"/>
    <w:p>
      <w:pPr>
        <w:pStyle w:val="Heading4"/>
        <w:spacing w:before="360" w:after="360"/>
        <w:ind w:left="120"/>
        <w:jc w:val="left"/>
      </w:pPr>
      <w:r>
        <w:rPr>
          <w:rFonts w:ascii="Times New Roman" w:hAnsi="Times New Roman"/>
          <w:i w:val="false"/>
          <w:color w:val="000000"/>
          <w:sz w:val="18"/>
        </w:rPr>
        <w:t>Weiterbildungsangebote für Mitarbeitende</w:t>
      </w:r>
    </w:p>
    <w:bookmarkEnd w:id="24"/>
    <w:p>
      <w:pPr>
        <w:spacing w:before="269" w:after="269"/>
        <w:ind w:left="120"/>
        <w:jc w:val="left"/>
      </w:pPr>
      <w:r>
        <w:rPr>
          <w:rFonts w:ascii="Times New Roman" w:hAnsi="Times New Roman"/>
          <w:b w:val="false"/>
          <w:i w:val="false"/>
          <w:color w:val="000000"/>
          <w:sz w:val="22"/>
        </w:rPr>
        <w:t>Die Befragungsergebnisse zeigen, dass 87,5 % der Hochschulen ihren Mitarbeitenden und Lehrenden Zugang zu Weiterbildungsangeboten zum Thema digitale Barrierefreiheit anbieten. Diese Angebote zielen darauf ab, die Beschäftigten bei der barrierefreien Aufbereitung ihrer Inhalte zu unterstützen.</w:t>
      </w:r>
    </w:p>
    <w:p>
      <w:pPr>
        <w:spacing w:before="0" w:after="0"/>
        <w:ind w:left="120"/>
        <w:jc w:val="left"/>
      </w:pPr>
      <w:r>
        <w:drawing>
          <wp:inline distT="0" distB="0" distL="0" distR="0">
            <wp:extent cx="4476750" cy="3600450"/>
            <wp:effectExtent l="0" t="0" r="0" b="0"/>
            <wp:docPr id="6" name="" descr="Kreisdiagramm: 84 Ja (87,5 %) und 12 Nein (12,5 %)"/>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76750" cy="3600450"/>
                    </a:xfrm>
                    <a:prstGeom prst="rect">
                      <a:avLst/>
                    </a:prstGeom>
                  </pic:spPr>
                </pic:pic>
              </a:graphicData>
            </a:graphic>
          </wp:inline>
        </w:drawing>
      </w:r>
    </w:p>
    <w:p>
      <w:pPr>
        <w:pStyle w:val="Caption"/>
        <w:spacing w:before="0" w:after="0"/>
        <w:ind w:left="120"/>
        <w:jc w:val="left"/>
      </w:pPr>
      <w:r>
        <w:t xml:space="preserve">Figure </w:t>
      </w:r>
      <w:fldSimple w:instr=" SEQ Figure  \* ARABIC ">
        <w:r>
          <w:t>5</w:t>
        </w:r>
      </w:fldSimple>
      <w:r>
        <w:rPr>
          <w:rFonts w:ascii="Times New Roman" w:hAnsi="Times New Roman"/>
        </w:rPr>
        <w:t>Abbildung 5: Stehen Ihnen und/oder Ihren Mitarbeitenden Weiterbildungsangebote zum Thema digitaler Barrierefreiheit zur Verfügung?</w:t>
      </w:r>
    </w:p>
    <w:p>
      <w:pPr>
        <w:spacing w:before="269" w:after="269"/>
        <w:ind w:left="120"/>
        <w:jc w:val="left"/>
      </w:pPr>
      <w:r>
        <w:rPr>
          <w:rFonts w:ascii="Times New Roman" w:hAnsi="Times New Roman"/>
          <w:b w:val="false"/>
          <w:i w:val="false"/>
          <w:color w:val="000000"/>
          <w:sz w:val="22"/>
        </w:rPr>
        <w:t>Eine genauere Betrachtung der Art der Weiterbildungsangebote zeigt ein breites Spektrum an Formaten: Am häufigsten geben die Hochschulen an, ihren Mitarbeitenden interne Weiterbildungsangebote (31 Nennungen) zum Thema digitale Barrierefreiheit anzubieten. Diesen Angeboten folgen externe Weiterbildungsangebote (23). Selbstlernkurse (8), spezifische Schulungen (7) sowie hochschulübergreifende Angebote (7) werden ebenfalls als Bestandteil des Weiterbildungsangebots genannt.</w:t>
      </w:r>
    </w:p>
    <w:p>
      <w:pPr>
        <w:spacing w:before="269" w:after="269"/>
        <w:ind w:left="120"/>
        <w:jc w:val="left"/>
      </w:pPr>
      <w:r>
        <w:rPr>
          <w:rFonts w:ascii="Times New Roman" w:hAnsi="Times New Roman"/>
          <w:b w:val="false"/>
          <w:i w:val="false"/>
          <w:color w:val="000000"/>
          <w:sz w:val="22"/>
        </w:rPr>
        <w:t>Einzelne Hochschulen nutzen darüber hinaus Angebote des Kompetenzzentrums Digitale Barrierefreiheit.NRW (3) sowie Fortbildungen von Landeseinrichtungen (3). Weitere, seltener genannte Formate sind Online-Schulungen, Live-Schulungen, Workshops der Hochschulrektorenkonferenz sowie Materialien des Hochschulbüros (jeweils 1 Nennung). Vereinzelt wird auch angegeben, dass Barrierefreiheit als Teilaspekt allgemeiner Schulungen behandelt wird oder dass keine spezifischen Angebote bestehen (je 1 Nennung).</w:t>
      </w:r>
    </w:p>
    <w:p>
      <w:pPr>
        <w:spacing w:before="269" w:after="269"/>
        <w:ind w:left="120"/>
        <w:jc w:val="left"/>
      </w:pPr>
      <w:r>
        <w:rPr>
          <w:rFonts w:ascii="Times New Roman" w:hAnsi="Times New Roman"/>
          <w:b w:val="false"/>
          <w:i w:val="false"/>
          <w:color w:val="000000"/>
          <w:sz w:val="22"/>
        </w:rPr>
        <w:t>Die Ergebnisse zeigen, dass an vielen Hochschulen Qualifizierungsmaßnahmen im Bereich der digitalen Barrierefreiheit vorhanden sind. Dabei werden sowohl interne als auch externe Angebote genutzt. Die Formate umfassen klassische Schulungen ebenso wie Selbstlern- und Online-Angebote. Insgesamt lässt sich feststellen, dass das Weiterbildungsangebot thematisch und strukturell vielfältig ausgestaltet ist, sich jedoch in seinem Umfang zwischen den Hochschulen unterscheidet.</w:t>
      </w:r>
    </w:p>
    <w:bookmarkStart w:name="abfde551264fccec5b8894a149b24718" w:id="25"/>
    <w:p>
      <w:pPr>
        <w:pStyle w:val="Heading4"/>
        <w:spacing w:before="360" w:after="360"/>
        <w:ind w:left="120"/>
        <w:jc w:val="left"/>
      </w:pPr>
      <w:r>
        <w:rPr>
          <w:rFonts w:ascii="Times New Roman" w:hAnsi="Times New Roman"/>
          <w:i w:val="false"/>
          <w:color w:val="000000"/>
          <w:sz w:val="18"/>
        </w:rPr>
        <w:t>Hochschulübergreifende Initiativen</w:t>
      </w:r>
    </w:p>
    <w:bookmarkEnd w:id="25"/>
    <w:p>
      <w:pPr>
        <w:spacing w:before="269" w:after="269"/>
        <w:ind w:left="120"/>
        <w:jc w:val="left"/>
      </w:pPr>
      <w:r>
        <w:rPr>
          <w:rFonts w:ascii="Times New Roman" w:hAnsi="Times New Roman"/>
          <w:b w:val="false"/>
          <w:i w:val="false"/>
          <w:color w:val="000000"/>
          <w:sz w:val="22"/>
        </w:rPr>
        <w:t>Die Befragung zu hochschulübergreifenden Angeboten und Initiativen, wie beispielsweise Umsetzungsdiensten und Peer Mentoring, sowie speziellen (Lehr-)Angeboten für Studierende mit Behinderungen und chronischen Erkrankungen ergab, dass knapp die Hälfte der Hochschulen (47 %) keine hochschulübergreifenden Angebote oder Initiativen in diesem Bereich hat.</w:t>
      </w:r>
    </w:p>
    <w:p>
      <w:pPr>
        <w:spacing w:before="0" w:after="0"/>
        <w:ind w:left="120"/>
        <w:jc w:val="left"/>
      </w:pPr>
      <w:r>
        <w:drawing>
          <wp:inline distT="0" distB="0" distL="0" distR="0">
            <wp:extent cx="4476750" cy="3590925"/>
            <wp:effectExtent l="0" t="0" r="0" b="0"/>
            <wp:docPr id="7" name="" descr="Kreisdiagramm: 51 Ja (53 %) und 45 Nein (47 %)"/>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76750" cy="3590925"/>
                    </a:xfrm>
                    <a:prstGeom prst="rect">
                      <a:avLst/>
                    </a:prstGeom>
                  </pic:spPr>
                </pic:pic>
              </a:graphicData>
            </a:graphic>
          </wp:inline>
        </w:drawing>
      </w:r>
    </w:p>
    <w:p>
      <w:pPr>
        <w:pStyle w:val="Caption"/>
        <w:spacing w:before="0" w:after="0"/>
        <w:ind w:left="120"/>
        <w:jc w:val="left"/>
      </w:pPr>
      <w:r>
        <w:t xml:space="preserve">Figure </w:t>
      </w:r>
      <w:fldSimple w:instr=" SEQ Figure  \* ARABIC ">
        <w:r>
          <w:t>6</w:t>
        </w:r>
      </w:fldSimple>
      <w:r>
        <w:rPr>
          <w:rFonts w:ascii="Times New Roman" w:hAnsi="Times New Roman"/>
        </w:rPr>
        <w:t>Abbildung 6: Gibt es hochschulübergreifende Initiativen oder spezielle (Lehr-)Angebote für Studierende mit Behinderungen und chronischen Erkrankungen?</w:t>
      </w:r>
    </w:p>
    <w:p>
      <w:pPr>
        <w:spacing w:before="269" w:after="269"/>
        <w:ind w:left="120"/>
        <w:jc w:val="left"/>
      </w:pPr>
      <w:r>
        <w:rPr>
          <w:rFonts w:ascii="Times New Roman" w:hAnsi="Times New Roman"/>
          <w:b w:val="false"/>
          <w:i w:val="false"/>
          <w:color w:val="000000"/>
          <w:sz w:val="22"/>
        </w:rPr>
        <w:t>Die Auswertung der Ergebnisse zeigt, dass an den übrigen Hochschulen eine Vielfalt an hochschulübergreifende Initiativen und spezielle (Lehr-)Angebote für Studierende mit Behinderungen und chronischen Erkrankungen besteht, die unterschiedliche Bereiche von Barrierefreiheit und Inklusion abdecken.</w:t>
      </w:r>
    </w:p>
    <w:p>
      <w:pPr>
        <w:spacing w:before="269" w:after="269"/>
        <w:ind w:left="120"/>
        <w:jc w:val="left"/>
      </w:pPr>
      <w:r>
        <w:rPr>
          <w:rFonts w:ascii="Times New Roman" w:hAnsi="Times New Roman"/>
          <w:b w:val="false"/>
          <w:i w:val="false"/>
          <w:color w:val="000000"/>
          <w:sz w:val="22"/>
        </w:rPr>
        <w:t>Am häufigsten werden Fachstellen (17 Nennungen) genannt, die meist als Service- und Beratungsstellen fungieren und zentrale Anlaufpunkte für Studierende mit Beeinträchtigungen darstellen. Ebenfalls häufig vorkommend sind Austauschformate (13) wie Gesprächsgruppen, Netzwerke oder Stammtische, die dem gegenseitigen Erfahrungsaustausch dienen.</w:t>
      </w:r>
    </w:p>
    <w:p>
      <w:pPr>
        <w:spacing w:before="269" w:after="269"/>
        <w:ind w:left="120"/>
        <w:jc w:val="left"/>
      </w:pPr>
      <w:r>
        <w:rPr>
          <w:rFonts w:ascii="Times New Roman" w:hAnsi="Times New Roman"/>
          <w:b w:val="false"/>
          <w:i w:val="false"/>
          <w:color w:val="000000"/>
          <w:sz w:val="22"/>
        </w:rPr>
        <w:t>Weitere häufig genannte Angebote sind Fortbildungen (12) – in Form von Workshops, Veranstaltungen oder Modulangeboten – sowie Mentoringprogramme (10) und die Bereitstellung von Arbeitsplätzen und technischer Ausstattung (10). Auch Übertragungsservice (9) beispielsweise in Form von Umsetzungsdiensten, werden mehrfach genannt.</w:t>
      </w:r>
    </w:p>
    <w:p>
      <w:pPr>
        <w:spacing w:before="269" w:after="269"/>
        <w:ind w:left="120"/>
        <w:jc w:val="left"/>
      </w:pPr>
      <w:r>
        <w:rPr>
          <w:rFonts w:ascii="Times New Roman" w:hAnsi="Times New Roman"/>
          <w:b w:val="false"/>
          <w:i w:val="false"/>
          <w:color w:val="000000"/>
          <w:sz w:val="22"/>
        </w:rPr>
        <w:t>Darüber hinaus existieren Kompetenzzentren (5), beispielsweise das Kompetenzzentrum Digitale Barrierefreiheit.NRW (DH.NRW), sowie Selbsthilfegruppen (3), Nachteilsausgleiche (3), studentische oder hochschulische Initiativen (3) und Beauftragte für Studierende mit Beeinträchtigungen (3).</w:t>
      </w:r>
    </w:p>
    <w:p>
      <w:pPr>
        <w:spacing w:before="269" w:after="269"/>
        <w:ind w:left="120"/>
        <w:jc w:val="left"/>
      </w:pPr>
      <w:r>
        <w:rPr>
          <w:rFonts w:ascii="Times New Roman" w:hAnsi="Times New Roman"/>
          <w:b w:val="false"/>
          <w:i w:val="false"/>
          <w:color w:val="000000"/>
          <w:sz w:val="22"/>
        </w:rPr>
        <w:t>Einige Hochschulen nennen weitere Formate wie Kooperationen mit Therapeut*innen (z. B. psychotherapeutische Beratungen), Arbeitsgruppen (AGs) und Projekte (jeweils 2 Nennungen). Jeweils ein Mal werden auch Sensibilisierungsformate und Inklusionsbüros als Angebote für Studierende mit Behinderung und chronischen Erkrankungen erwähnt. Einzelne Angaben beziehen sich auf spezifische Maßnahmen wie Anpassungen von Lehrangeboten, SIG Barrierefreiheit ILIAS, Zusatzdienste auf Hochschul-Webseiten, Programme, Zentren, AStA Referat oder Kooperationen</w:t>
      </w:r>
      <w:r>
        <w:br/>
      </w:r>
      <w:r>
        <w:rPr>
          <w:rFonts w:ascii="Times New Roman" w:hAnsi="Times New Roman"/>
          <w:b w:val="false"/>
          <w:i w:val="false"/>
          <w:color w:val="000000"/>
          <w:sz w:val="22"/>
        </w:rPr>
        <w:t>mit Verbänden (jeweils 1 Nennung).</w:t>
      </w:r>
    </w:p>
    <w:p>
      <w:pPr>
        <w:spacing w:before="269" w:after="269"/>
        <w:ind w:left="120"/>
        <w:jc w:val="left"/>
      </w:pPr>
      <w:r>
        <w:rPr>
          <w:rFonts w:ascii="Times New Roman" w:hAnsi="Times New Roman"/>
          <w:b w:val="false"/>
          <w:i w:val="false"/>
          <w:color w:val="000000"/>
          <w:sz w:val="22"/>
        </w:rPr>
        <w:t>Die Ergebnisse zeigen, dass an einigen Hochschulen verschiedene strukturelle und inhaltliche Initiativen zur Unterstützung von Studierenden mit Behinderungen und chronischen Erkrankungen bestehen. Diese umfassen beratende und technische Unterstützungsangebote, Vernetzungs- und Austauschformate sowie Fortbildungs- und Sensibilisierungsmaßnahmen. Gleichzeitig wird deutlich, dass solche Angebote nicht an allen Hochschulen vorhanden sind und sich hinsichtlich Umfang, Ausgestaltung und organisatorischer Einbindung unterscheiden.</w:t>
      </w:r>
    </w:p>
    <w:bookmarkStart w:name="3382d94049f634e5821b0251f246b817" w:id="26"/>
    <w:p>
      <w:pPr>
        <w:pStyle w:val="Heading3"/>
        <w:spacing w:before="269" w:after="269"/>
        <w:ind w:left="120"/>
        <w:jc w:val="left"/>
      </w:pPr>
      <w:r>
        <w:rPr>
          <w:rFonts w:ascii="Times New Roman" w:hAnsi="Times New Roman"/>
          <w:color w:val="000000"/>
        </w:rPr>
        <w:t>Themenbereich: Sicht auf Studierende</w:t>
      </w:r>
    </w:p>
    <w:bookmarkEnd w:id="26"/>
    <w:bookmarkStart w:name="db6401801a7e8cb9f0d13230a173a4bf" w:id="27"/>
    <w:p>
      <w:pPr>
        <w:pStyle w:val="Heading4"/>
        <w:spacing w:before="360" w:after="360"/>
        <w:ind w:left="120"/>
        <w:jc w:val="left"/>
      </w:pPr>
      <w:r>
        <w:rPr>
          <w:rFonts w:ascii="Times New Roman" w:hAnsi="Times New Roman"/>
          <w:i w:val="false"/>
          <w:color w:val="000000"/>
          <w:sz w:val="18"/>
        </w:rPr>
        <w:t>Technische Hilfsmittel für Studierende</w:t>
      </w:r>
    </w:p>
    <w:bookmarkEnd w:id="27"/>
    <w:p>
      <w:pPr>
        <w:spacing w:before="269" w:after="269"/>
        <w:ind w:left="120"/>
        <w:jc w:val="left"/>
      </w:pPr>
      <w:r>
        <w:rPr>
          <w:rFonts w:ascii="Times New Roman" w:hAnsi="Times New Roman"/>
          <w:b w:val="false"/>
          <w:i w:val="false"/>
          <w:color w:val="000000"/>
          <w:sz w:val="22"/>
        </w:rPr>
        <w:t>Im Themenbereich Sicht auf Studierende geben 71 Hochschulen (74 %) an, dass sie ihren Studierenden technische Hilfsmittel (Hardware) zur Unterstützung während des Studiums zur Verfügung stellen.</w:t>
      </w:r>
    </w:p>
    <w:p>
      <w:pPr>
        <w:spacing w:before="0" w:after="0"/>
        <w:ind w:left="120"/>
        <w:jc w:val="left"/>
      </w:pPr>
      <w:r>
        <w:drawing>
          <wp:inline distT="0" distB="0" distL="0" distR="0">
            <wp:extent cx="4476750" cy="3714750"/>
            <wp:effectExtent l="0" t="0" r="0" b="0"/>
            <wp:docPr id="8" name="" descr="Kreisdiagramm: 71 Ja (74 %) und 25 Nein (26 %)"/>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76750" cy="3714750"/>
                    </a:xfrm>
                    <a:prstGeom prst="rect">
                      <a:avLst/>
                    </a:prstGeom>
                  </pic:spPr>
                </pic:pic>
              </a:graphicData>
            </a:graphic>
          </wp:inline>
        </w:drawing>
      </w:r>
    </w:p>
    <w:p>
      <w:pPr>
        <w:pStyle w:val="Caption"/>
        <w:spacing w:before="0" w:after="0"/>
        <w:ind w:left="120"/>
        <w:jc w:val="left"/>
      </w:pPr>
      <w:r>
        <w:t xml:space="preserve">Figure </w:t>
      </w:r>
      <w:fldSimple w:instr=" SEQ Figure  \* ARABIC ">
        <w:r>
          <w:t>7</w:t>
        </w:r>
      </w:fldSimple>
      <w:r>
        <w:rPr>
          <w:rFonts w:ascii="Times New Roman" w:hAnsi="Times New Roman"/>
        </w:rPr>
        <w:t>Abbildung 7: Stellen Sie Ihren Studierenden technische Hilfsmittel zur Verfügung?</w:t>
      </w:r>
    </w:p>
    <w:p>
      <w:pPr>
        <w:spacing w:before="269" w:after="269"/>
        <w:ind w:left="120"/>
        <w:jc w:val="left"/>
      </w:pPr>
      <w:r>
        <w:rPr>
          <w:rFonts w:ascii="Times New Roman" w:hAnsi="Times New Roman"/>
          <w:b w:val="false"/>
          <w:i w:val="false"/>
          <w:color w:val="000000"/>
          <w:sz w:val="22"/>
        </w:rPr>
        <w:t>Die Hochschulen stellen ihren Studierenden eine Vielzahl technischer Hilfsmittel (Hardware) sowohl vor Ort als auch zur Ausleihe zur Verfügung, wobei die Ausstattung der einzelnen Hochschulen variiert. Barrierefreie Arbeitsplatzrechner stehen insbesondere in Bibliotheken zur Verfügung. Arbeitsplätze, die mit weiteren technischen Hilfsmitteln wie alternative Ansteuerungen, Scanner (5), Braillezeilen (19) etc. ausgestattet sind, sind wiederum häufig an anderen Lernorten, wie z. B. in einem „inklusiven Lernraum", verortet.</w:t>
      </w:r>
    </w:p>
    <w:p>
      <w:pPr>
        <w:spacing w:before="269" w:after="269"/>
        <w:ind w:left="120"/>
        <w:jc w:val="left"/>
      </w:pPr>
      <w:r>
        <w:rPr>
          <w:rFonts w:ascii="Times New Roman" w:hAnsi="Times New Roman"/>
          <w:b w:val="false"/>
          <w:i w:val="false"/>
          <w:color w:val="000000"/>
          <w:sz w:val="22"/>
        </w:rPr>
        <w:t>Im Bereich der alternativen Ansteuerung stehen verschiedene technische Lösungen zur Verfügung, darunter Großtastaturen, ergonomische Mäuse sowie Schreibtischmikrofone. Ergänzend werden großformatige iPads, Bildschirmlesegeräte, Scanner und Dokumentenkameras angeboten.</w:t>
      </w:r>
    </w:p>
    <w:p>
      <w:pPr>
        <w:spacing w:before="269" w:after="269"/>
        <w:ind w:left="120"/>
        <w:jc w:val="left"/>
      </w:pPr>
      <w:r>
        <w:rPr>
          <w:rFonts w:ascii="Times New Roman" w:hAnsi="Times New Roman"/>
          <w:b w:val="false"/>
          <w:i w:val="false"/>
          <w:color w:val="000000"/>
          <w:sz w:val="22"/>
        </w:rPr>
        <w:t>Für Studierende mit Sehbeeinträchtigung oder Blindheit halten die Hochschulen Braillezeilen (19) und Brailledrucker (18) vor; darüber hinaus existieren Vergrößerungshilfsmittel, Tactonom Reader (2) sowie Schwellpapierdrucker.</w:t>
      </w:r>
    </w:p>
    <w:p>
      <w:pPr>
        <w:spacing w:before="269" w:after="269"/>
        <w:ind w:left="120"/>
        <w:jc w:val="left"/>
      </w:pPr>
      <w:r>
        <w:rPr>
          <w:rFonts w:ascii="Times New Roman" w:hAnsi="Times New Roman"/>
          <w:b w:val="false"/>
          <w:i w:val="false"/>
          <w:color w:val="000000"/>
          <w:sz w:val="22"/>
        </w:rPr>
        <w:t>Nahezu alle Hochschulen berichten, dass mindestens in einigen Hörsälen Induktionsschleifen installiert sind, ergänzend wird mit Systemen wie „Sennheiser Connect" (2) gearbeitet.</w:t>
      </w:r>
    </w:p>
    <w:p>
      <w:pPr>
        <w:spacing w:before="269" w:after="269"/>
        <w:ind w:left="120"/>
        <w:jc w:val="left"/>
      </w:pPr>
      <w:r>
        <w:rPr>
          <w:rFonts w:ascii="Times New Roman" w:hAnsi="Times New Roman"/>
          <w:b w:val="false"/>
          <w:i w:val="false"/>
          <w:color w:val="000000"/>
          <w:sz w:val="22"/>
        </w:rPr>
        <w:t>Während einige Hochschulen berichten, dass im Zuge von Renovierungen oder Neubauten darauf geachtet wird, dass Induktionsschleifen oder ein anderes System eingebaut wird, berichtet eine Hochschule, dass sich „bewusst und strategisch gegen klassische Einbauten wie Induktionsanlagen entschieden [wurde]".</w:t>
      </w:r>
    </w:p>
    <w:p>
      <w:pPr>
        <w:spacing w:before="269" w:after="269"/>
        <w:ind w:left="120"/>
        <w:jc w:val="left"/>
      </w:pPr>
      <w:r>
        <w:rPr>
          <w:rFonts w:ascii="Times New Roman" w:hAnsi="Times New Roman"/>
          <w:b w:val="false"/>
          <w:i w:val="false"/>
          <w:color w:val="000000"/>
          <w:sz w:val="22"/>
        </w:rPr>
        <w:t>Einen weiteren wesentlichen Bestandteil der technischen Infrastruktur bildet der Hilfsmittelpool zur Ausleihe. Dieser umfasst unter anderem Tafelbildkameras, Laptops (häufig ausschließlich für Klausuren und Prüfungen), FM-Anlagen sowie Mikrofon- und Kopfhörertechnik. Während einige Hochschulen bereits über etablierte Hilfsmittelpools verfügen, befinden sich andere derzeit im Aufbau entsprechender Angebote.</w:t>
      </w:r>
    </w:p>
    <w:bookmarkStart w:name="95b0eac188f17427956dabeabac140b8" w:id="28"/>
    <w:p>
      <w:pPr>
        <w:pStyle w:val="Heading4"/>
        <w:spacing w:before="360" w:after="360"/>
        <w:ind w:left="120"/>
        <w:jc w:val="left"/>
      </w:pPr>
      <w:r>
        <w:rPr>
          <w:rFonts w:ascii="Times New Roman" w:hAnsi="Times New Roman"/>
          <w:i w:val="false"/>
          <w:color w:val="000000"/>
          <w:sz w:val="18"/>
        </w:rPr>
        <w:t>Software für Studierende</w:t>
      </w:r>
    </w:p>
    <w:bookmarkEnd w:id="28"/>
    <w:p>
      <w:pPr>
        <w:spacing w:before="269" w:after="269"/>
        <w:ind w:left="120"/>
        <w:jc w:val="left"/>
      </w:pPr>
      <w:r>
        <w:rPr>
          <w:rFonts w:ascii="Times New Roman" w:hAnsi="Times New Roman"/>
          <w:b w:val="false"/>
          <w:i w:val="false"/>
          <w:color w:val="000000"/>
          <w:sz w:val="22"/>
        </w:rPr>
        <w:t>53 Hochschulen (55 %) geben an, ihren Studierenden Software für digitale Barrierefreiheit bereitzustellen.</w:t>
      </w:r>
    </w:p>
    <w:p>
      <w:pPr>
        <w:spacing w:before="0" w:after="0"/>
        <w:ind w:left="120"/>
        <w:jc w:val="left"/>
      </w:pPr>
      <w:r>
        <w:drawing>
          <wp:inline distT="0" distB="0" distL="0" distR="0">
            <wp:extent cx="4476750" cy="3448050"/>
            <wp:effectExtent l="0" t="0" r="0" b="0"/>
            <wp:docPr id="9" name="" descr="Kreisdiagramm: 53 Ja (55 %) und 43 Nein (45 %)"/>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76750" cy="3448050"/>
                    </a:xfrm>
                    <a:prstGeom prst="rect">
                      <a:avLst/>
                    </a:prstGeom>
                  </pic:spPr>
                </pic:pic>
              </a:graphicData>
            </a:graphic>
          </wp:inline>
        </w:drawing>
      </w:r>
    </w:p>
    <w:p>
      <w:pPr>
        <w:pStyle w:val="Caption"/>
        <w:spacing w:before="0" w:after="0"/>
        <w:ind w:left="120"/>
        <w:jc w:val="left"/>
      </w:pPr>
      <w:r>
        <w:t xml:space="preserve">Figure </w:t>
      </w:r>
      <w:fldSimple w:instr=" SEQ Figure  \* ARABIC ">
        <w:r>
          <w:t>8</w:t>
        </w:r>
      </w:fldSimple>
      <w:r>
        <w:rPr>
          <w:rFonts w:ascii="Times New Roman" w:hAnsi="Times New Roman"/>
        </w:rPr>
        <w:t>Abbildung 8: Können Sie Ihren Studierenden Software für digitale Barrierefreiheit zur Verfügung stellen?</w:t>
      </w:r>
    </w:p>
    <w:p>
      <w:pPr>
        <w:spacing w:before="269" w:after="269"/>
        <w:ind w:left="120"/>
        <w:jc w:val="left"/>
      </w:pPr>
      <w:r>
        <w:rPr>
          <w:rFonts w:ascii="Times New Roman" w:hAnsi="Times New Roman"/>
          <w:b w:val="false"/>
          <w:i w:val="false"/>
          <w:color w:val="000000"/>
          <w:sz w:val="22"/>
        </w:rPr>
        <w:t>Die Frage, welche Software den Studierenden zur Verfügung gestellt wird, wird von den Hochschulen unterschiedlich detailliert beantwortet.</w:t>
      </w:r>
    </w:p>
    <w:p>
      <w:pPr>
        <w:spacing w:before="269" w:after="269"/>
        <w:ind w:left="120"/>
        <w:jc w:val="left"/>
      </w:pPr>
      <w:r>
        <w:rPr>
          <w:rFonts w:ascii="Times New Roman" w:hAnsi="Times New Roman"/>
          <w:b w:val="false"/>
          <w:i w:val="false"/>
          <w:color w:val="000000"/>
          <w:sz w:val="22"/>
        </w:rPr>
        <w:t>Einige Hochschulen weisen darauf hin, dass sie Software nach Bedarf und in individueller Absprache mit den Studierenden beschaffen. Die Beschaffung läuft dabei beispielsweise über die Beauftragten für Studierende mit Behinderung, über Anträge zum Nachteilsausgleich oder externe Stellen, wie das Studierendenwerk oder die Sozialämter. Von den 53 Hochschulen, die die Frage nach der Bereitstellung von Software mit „Ja" beantwortet haben, geben sieben Hochschulen an, noch keine Anfrage zur Beschaffung von Software für Studierende mit Behinderung erhalten zu haben.</w:t>
      </w:r>
    </w:p>
    <w:p>
      <w:pPr>
        <w:spacing w:before="269" w:after="269"/>
        <w:ind w:left="120"/>
        <w:jc w:val="left"/>
      </w:pPr>
      <w:r>
        <w:rPr>
          <w:rFonts w:ascii="Times New Roman" w:hAnsi="Times New Roman"/>
          <w:b w:val="false"/>
          <w:i w:val="false"/>
          <w:color w:val="000000"/>
          <w:sz w:val="22"/>
        </w:rPr>
        <w:t>Neben der individuellen Beschaffung existieren an einigen Hochschulen Hilfsmittelpools, um die Studierenden mit Software zu versorgen. Die Bereitstellung erfolgt je nach Hochschule auf unterschiedlichen Wegen, z. B. als Software auf stationären PCs (beispielsweise in der Bibliothek oder speziell ausgewiesenen Arbeitsplätzen für Studierende mit Beeinträchtigung), als Software auf ausleihbaren Laptops (z. B. als Übergangslösung für einen begrenzten Zeitraum oder für Prüfungen) oder als Software-Ausleihe für den eigenen Laptop.</w:t>
      </w:r>
    </w:p>
    <w:p>
      <w:pPr>
        <w:spacing w:before="269" w:after="269"/>
        <w:ind w:left="120"/>
        <w:jc w:val="left"/>
      </w:pPr>
      <w:r>
        <w:rPr>
          <w:rFonts w:ascii="Times New Roman" w:hAnsi="Times New Roman"/>
          <w:b w:val="false"/>
          <w:i w:val="false"/>
          <w:color w:val="000000"/>
          <w:sz w:val="22"/>
        </w:rPr>
        <w:t>Die folgende Auflistung gibt eine grobe Orientierung, welche Arten von Software von den Hochschulen am häufigsten bereitgestellt werden. Neben assistiver Software, die Studierenden mit Behinderung beispielsweise die Nutzung von Computern oder den Zugang zu (digitalen) Inhalten oder Lehrangeboten ermöglicht, findet sich darin auch Software zur Erstellung barrierefreier Inhalte:</w:t>
      </w:r>
    </w:p>
    <w:p>
      <w:pPr>
        <w:numPr>
          <w:ilvl w:val="0"/>
          <w:numId w:val="14"/>
        </w:numPr>
        <w:spacing w:before="0" w:after="0"/>
        <w:jc w:val="left"/>
      </w:pPr>
      <w:r>
        <w:rPr>
          <w:rFonts w:ascii="Times New Roman" w:hAnsi="Times New Roman"/>
          <w:b w:val="false"/>
          <w:i w:val="false"/>
          <w:color w:val="000000"/>
          <w:sz w:val="22"/>
        </w:rPr>
        <w:t>Screenreadersoftware, wie z. B. JAWS, NVDA, Orca oder VoiceOver (28)</w:t>
      </w:r>
    </w:p>
    <w:p>
      <w:pPr>
        <w:numPr>
          <w:ilvl w:val="0"/>
          <w:numId w:val="14"/>
        </w:numPr>
        <w:spacing w:before="0" w:after="0"/>
        <w:jc w:val="left"/>
      </w:pPr>
      <w:r>
        <w:rPr>
          <w:rFonts w:ascii="Times New Roman" w:hAnsi="Times New Roman"/>
          <w:b w:val="false"/>
          <w:i w:val="false"/>
          <w:color w:val="000000"/>
          <w:sz w:val="22"/>
        </w:rPr>
        <w:t>Scan- und OCR-Software, wie z. B. Abbyy FineReader, InftyReader, OmniPage oder OpenBook (11)</w:t>
      </w:r>
    </w:p>
    <w:p>
      <w:pPr>
        <w:numPr>
          <w:ilvl w:val="0"/>
          <w:numId w:val="14"/>
        </w:numPr>
        <w:spacing w:before="0" w:after="0"/>
        <w:jc w:val="left"/>
      </w:pPr>
      <w:r>
        <w:rPr>
          <w:rFonts w:ascii="Times New Roman" w:hAnsi="Times New Roman"/>
          <w:b w:val="false"/>
          <w:i w:val="false"/>
          <w:color w:val="000000"/>
          <w:sz w:val="22"/>
        </w:rPr>
        <w:t>Software zur Unterstützung beim Lesen, Schreiben und Lernen, wie z. B. ClaroRead, Kurzweil 3000, MULTiTEXT, ReadSpeaker, WoDy oder Xournal (11)</w:t>
      </w:r>
    </w:p>
    <w:p>
      <w:pPr>
        <w:numPr>
          <w:ilvl w:val="0"/>
          <w:numId w:val="14"/>
        </w:numPr>
        <w:spacing w:before="0" w:after="0"/>
        <w:jc w:val="left"/>
      </w:pPr>
      <w:r>
        <w:rPr>
          <w:rFonts w:ascii="Times New Roman" w:hAnsi="Times New Roman"/>
          <w:b w:val="false"/>
          <w:i w:val="false"/>
          <w:color w:val="000000"/>
          <w:sz w:val="22"/>
        </w:rPr>
        <w:t>Spracherkennungssoftware, wie z. B. Nuance Dragon (10)</w:t>
      </w:r>
    </w:p>
    <w:p>
      <w:pPr>
        <w:numPr>
          <w:ilvl w:val="0"/>
          <w:numId w:val="14"/>
        </w:numPr>
        <w:spacing w:before="0" w:after="0"/>
        <w:jc w:val="left"/>
      </w:pPr>
      <w:r>
        <w:rPr>
          <w:rFonts w:ascii="Times New Roman" w:hAnsi="Times New Roman"/>
          <w:b w:val="false"/>
          <w:i w:val="false"/>
          <w:color w:val="000000"/>
          <w:sz w:val="22"/>
        </w:rPr>
        <w:t>Software zum Bearbeiten, Exportieren und Prüfen von PDF-Dokumenten, wie z. B. Adobe Acrobat, axesWord oder PDF Accessibility Checker (PAC) (8) Adobe Acrobat, axesWord oder PDF Accessibility Checker (PAC) (8)</w:t>
      </w:r>
    </w:p>
    <w:p>
      <w:pPr>
        <w:numPr>
          <w:ilvl w:val="0"/>
          <w:numId w:val="14"/>
        </w:numPr>
        <w:spacing w:before="0" w:after="0"/>
        <w:jc w:val="left"/>
      </w:pPr>
      <w:r>
        <w:rPr>
          <w:rFonts w:ascii="Times New Roman" w:hAnsi="Times New Roman"/>
          <w:b w:val="false"/>
          <w:i w:val="false"/>
          <w:color w:val="000000"/>
          <w:sz w:val="22"/>
        </w:rPr>
        <w:t>Bildschirmvergrößerungssoftware, wie z. B. ZoomText (7)</w:t>
      </w:r>
    </w:p>
    <w:p>
      <w:pPr>
        <w:numPr>
          <w:ilvl w:val="0"/>
          <w:numId w:val="14"/>
        </w:numPr>
        <w:spacing w:before="0" w:after="0"/>
        <w:jc w:val="left"/>
      </w:pPr>
      <w:r>
        <w:rPr>
          <w:rFonts w:ascii="Times New Roman" w:hAnsi="Times New Roman"/>
          <w:b w:val="false"/>
          <w:i w:val="false"/>
          <w:color w:val="000000"/>
          <w:sz w:val="22"/>
        </w:rPr>
        <w:t>Kombinierte Software, die Vergrößerungs- und Screenreadersoftware vereint, wie z. B. Fusion oder SuperNova (7)</w:t>
      </w:r>
    </w:p>
    <w:p>
      <w:pPr>
        <w:numPr>
          <w:ilvl w:val="0"/>
          <w:numId w:val="14"/>
        </w:numPr>
        <w:spacing w:before="0" w:after="0"/>
        <w:jc w:val="left"/>
      </w:pPr>
      <w:r>
        <w:rPr>
          <w:rFonts w:ascii="Times New Roman" w:hAnsi="Times New Roman"/>
          <w:b w:val="false"/>
          <w:i w:val="false"/>
          <w:color w:val="000000"/>
          <w:sz w:val="22"/>
        </w:rPr>
        <w:t>Konverter für Brailleschrift, taktile Grafiken oder DAISY-Hörbücher, wie z. B. HBS / HBS-Word-Tools, Konversionssoftware für Schwelldruck oder RTFC (6)</w:t>
      </w:r>
    </w:p>
    <w:p>
      <w:pPr>
        <w:numPr>
          <w:ilvl w:val="0"/>
          <w:numId w:val="14"/>
        </w:numPr>
        <w:spacing w:before="0" w:after="0"/>
        <w:jc w:val="left"/>
      </w:pPr>
      <w:r>
        <w:rPr>
          <w:rFonts w:ascii="Times New Roman" w:hAnsi="Times New Roman"/>
          <w:b w:val="false"/>
          <w:i w:val="false"/>
          <w:color w:val="000000"/>
          <w:sz w:val="22"/>
        </w:rPr>
        <w:t>Anwendungen und Erweiterungen für Barrierefreiheit im Web, wie z. B. Browser-Accounts, Eye-Able, Kontrast-Prüftool, Moodle Accessibility PlugIn oder Siteimprove (6)</w:t>
      </w:r>
    </w:p>
    <w:p>
      <w:pPr>
        <w:numPr>
          <w:ilvl w:val="0"/>
          <w:numId w:val="14"/>
        </w:numPr>
        <w:spacing w:before="0" w:after="0"/>
        <w:jc w:val="left"/>
      </w:pPr>
      <w:r>
        <w:rPr>
          <w:rFonts w:ascii="Times New Roman" w:hAnsi="Times New Roman"/>
          <w:b w:val="false"/>
          <w:i w:val="false"/>
          <w:color w:val="000000"/>
          <w:sz w:val="22"/>
        </w:rPr>
        <w:t>Alternativen und Schnittstellen für Benutzeroberflächen, wie z. B. ADRIANE, BRLTTY,SAP GUI Screenreder Extensions oder SBL (4)</w:t>
      </w:r>
    </w:p>
    <w:p>
      <w:pPr>
        <w:numPr>
          <w:ilvl w:val="0"/>
          <w:numId w:val="14"/>
        </w:numPr>
        <w:spacing w:before="0" w:after="0"/>
        <w:jc w:val="left"/>
      </w:pPr>
      <w:r>
        <w:rPr>
          <w:rFonts w:ascii="Times New Roman" w:hAnsi="Times New Roman"/>
          <w:b w:val="false"/>
          <w:i w:val="false"/>
          <w:color w:val="000000"/>
          <w:sz w:val="22"/>
        </w:rPr>
        <w:t>Textverarbeitungs-, Formel- und Satzprogramme, wie z. B. LaTeX Software, LiTeX Formelprogramm oder Microsoft Office (4)</w:t>
      </w:r>
    </w:p>
    <w:p>
      <w:pPr>
        <w:numPr>
          <w:ilvl w:val="0"/>
          <w:numId w:val="14"/>
        </w:numPr>
        <w:spacing w:before="0" w:after="0"/>
        <w:jc w:val="left"/>
      </w:pPr>
      <w:r>
        <w:rPr>
          <w:rFonts w:ascii="Times New Roman" w:hAnsi="Times New Roman"/>
          <w:b w:val="false"/>
          <w:i w:val="false"/>
          <w:color w:val="000000"/>
          <w:sz w:val="22"/>
        </w:rPr>
        <w:t>Hörunterstützung, wie z. B. Sennheiser MobileConnect (3)</w:t>
      </w:r>
    </w:p>
    <w:p>
      <w:pPr>
        <w:numPr>
          <w:ilvl w:val="0"/>
          <w:numId w:val="14"/>
        </w:numPr>
        <w:spacing w:before="0" w:after="0"/>
        <w:jc w:val="left"/>
      </w:pPr>
      <w:r>
        <w:rPr>
          <w:rFonts w:ascii="Times New Roman" w:hAnsi="Times New Roman"/>
          <w:b w:val="false"/>
          <w:i w:val="false"/>
          <w:color w:val="000000"/>
          <w:sz w:val="22"/>
        </w:rPr>
        <w:t>Anwendungen zur Untertitelung und Transkription von Videos oder Videokonferenzen, wie z. B. Amberscript, Camtasia oder Webex (3)</w:t>
      </w:r>
    </w:p>
    <w:p>
      <w:pPr>
        <w:numPr>
          <w:ilvl w:val="0"/>
          <w:numId w:val="14"/>
        </w:numPr>
        <w:spacing w:before="0" w:after="0"/>
        <w:jc w:val="left"/>
      </w:pPr>
      <w:r>
        <w:rPr>
          <w:rFonts w:ascii="Times New Roman" w:hAnsi="Times New Roman"/>
          <w:b w:val="false"/>
          <w:i w:val="false"/>
          <w:color w:val="000000"/>
          <w:sz w:val="22"/>
        </w:rPr>
        <w:t>Lesesoftware, z.B. DAISY-Player-Software oder VIP-PDF-Reader (2)</w:t>
      </w:r>
    </w:p>
    <w:p>
      <w:pPr>
        <w:numPr>
          <w:ilvl w:val="0"/>
          <w:numId w:val="14"/>
        </w:numPr>
        <w:spacing w:before="0" w:after="0"/>
        <w:jc w:val="left"/>
      </w:pPr>
      <w:r>
        <w:rPr>
          <w:rFonts w:ascii="Times New Roman" w:hAnsi="Times New Roman"/>
          <w:b w:val="false"/>
          <w:i w:val="false"/>
          <w:color w:val="000000"/>
          <w:sz w:val="22"/>
        </w:rPr>
        <w:t>Sonstige Software, wie z. B. 3D-Druck-Software, eigens entwickelte Webanwendungen oder Termevaluator (3)</w:t>
      </w:r>
    </w:p>
    <w:p>
      <w:pPr>
        <w:spacing w:before="269" w:after="269"/>
        <w:ind w:left="120"/>
        <w:jc w:val="left"/>
      </w:pPr>
      <w:r>
        <w:rPr>
          <w:rFonts w:ascii="Times New Roman" w:hAnsi="Times New Roman"/>
          <w:b w:val="false"/>
          <w:i w:val="false"/>
          <w:color w:val="000000"/>
          <w:sz w:val="22"/>
        </w:rPr>
        <w:t>Die zu den einzelnen Software-Arten angegebenen Beispiele sind alphabetisch sortiert. Sie geben lediglich die Angaben der Hochschulen wieder und stellen weder eine vollständige Auflistung einsetzbarer Software noch eine Empfehlung dar.</w:t>
      </w:r>
    </w:p>
    <w:bookmarkStart w:name="47c104ff5573915880d1a5653782e3c8" w:id="29"/>
    <w:p>
      <w:pPr>
        <w:pStyle w:val="Heading4"/>
        <w:spacing w:before="360" w:after="360"/>
        <w:ind w:left="120"/>
        <w:jc w:val="left"/>
      </w:pPr>
      <w:r>
        <w:rPr>
          <w:rFonts w:ascii="Times New Roman" w:hAnsi="Times New Roman"/>
          <w:i w:val="false"/>
          <w:color w:val="000000"/>
          <w:sz w:val="18"/>
        </w:rPr>
        <w:t>Nachteilsausgleich</w:t>
      </w:r>
    </w:p>
    <w:bookmarkEnd w:id="29"/>
    <w:p>
      <w:pPr>
        <w:spacing w:before="269" w:after="269"/>
        <w:ind w:left="120"/>
        <w:jc w:val="left"/>
      </w:pPr>
      <w:r>
        <w:rPr>
          <w:rFonts w:ascii="Times New Roman" w:hAnsi="Times New Roman"/>
          <w:b w:val="false"/>
          <w:i w:val="false"/>
          <w:color w:val="000000"/>
          <w:sz w:val="22"/>
        </w:rPr>
        <w:t>99 % der Hochschulen geben an, dass sie ihren Studierenden mit Beeinträchtigung einen Nachteilsausgleich gewähren können.</w:t>
      </w:r>
    </w:p>
    <w:p>
      <w:pPr>
        <w:spacing w:before="0" w:after="0"/>
        <w:ind w:left="120"/>
        <w:jc w:val="left"/>
      </w:pPr>
      <w:r>
        <w:drawing>
          <wp:inline distT="0" distB="0" distL="0" distR="0">
            <wp:extent cx="4476750" cy="4476750"/>
            <wp:effectExtent l="0" t="0" r="0" b="0"/>
            <wp:docPr id="10" name="" descr="Kreisdiagramm: 95 Ja (99 %) und 1 Nein (1 %)"/>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76750" cy="4476750"/>
                    </a:xfrm>
                    <a:prstGeom prst="rect">
                      <a:avLst/>
                    </a:prstGeom>
                  </pic:spPr>
                </pic:pic>
              </a:graphicData>
            </a:graphic>
          </wp:inline>
        </w:drawing>
      </w:r>
    </w:p>
    <w:p>
      <w:pPr>
        <w:pStyle w:val="Caption"/>
        <w:spacing w:before="0" w:after="0"/>
        <w:ind w:left="120"/>
        <w:jc w:val="left"/>
      </w:pPr>
      <w:r>
        <w:t xml:space="preserve">Figure </w:t>
      </w:r>
      <w:fldSimple w:instr=" SEQ Figure  \* ARABIC ">
        <w:r>
          <w:t>9</w:t>
        </w:r>
      </w:fldSimple>
      <w:r>
        <w:rPr>
          <w:rFonts w:ascii="Times New Roman" w:hAnsi="Times New Roman"/>
        </w:rPr>
        <w:t>Abbildung 9: Können Ihren Studierenden Angebote bezüglich Nachteilsausgleich gewährt werden?</w:t>
      </w:r>
    </w:p>
    <w:p>
      <w:pPr>
        <w:spacing w:before="269" w:after="269"/>
        <w:ind w:left="120"/>
        <w:jc w:val="left"/>
      </w:pPr>
      <w:r>
        <w:rPr>
          <w:rFonts w:ascii="Times New Roman" w:hAnsi="Times New Roman"/>
          <w:b w:val="false"/>
          <w:i w:val="false"/>
          <w:color w:val="000000"/>
          <w:sz w:val="22"/>
        </w:rPr>
        <w:t>Die meisten Nachteilsausgleiche betreffen Prüfungsleistungen, jedoch gibt es auch Ausführungen zur Durchführung genereller Lehre und Studienanforderungen, z. B. Anpassungen von Auslandsaufenthalten oder Praktika. Die folgende Auflistung gibt eine grobe Orientierung, welche Nachteilsausgleiche von den Hochschulen am häufigsten bereitgestellt werden. Als zentrales Merkmal wurde immer wieder die notwendige Individualität der Anpassungen genannt.</w:t>
      </w:r>
    </w:p>
    <w:bookmarkStart w:name="761b28dd612b6304d763ecdcf1526c83" w:id="30"/>
    <w:p>
      <w:pPr>
        <w:spacing w:before="401" w:after="401"/>
        <w:ind w:left="120"/>
        <w:jc w:val="left"/>
      </w:pPr>
      <w:r>
        <w:rPr>
          <w:rFonts w:ascii="Times New Roman" w:hAnsi="Times New Roman"/>
          <w:b/>
          <w:i w:val="false"/>
          <w:color w:val="000000"/>
          <w:sz w:val="17"/>
        </w:rPr>
        <w:t>Nachteilsausgleiche bei Prüfungsleistungen:</w:t>
      </w:r>
    </w:p>
    <w:bookmarkEnd w:id="30"/>
    <w:p>
      <w:pPr>
        <w:numPr>
          <w:ilvl w:val="0"/>
          <w:numId w:val="15"/>
        </w:numPr>
        <w:spacing w:before="0" w:after="0"/>
        <w:jc w:val="left"/>
      </w:pPr>
      <w:r>
        <w:rPr>
          <w:rFonts w:ascii="Times New Roman" w:hAnsi="Times New Roman"/>
          <w:b w:val="false"/>
          <w:i w:val="false"/>
          <w:color w:val="000000"/>
          <w:sz w:val="22"/>
        </w:rPr>
        <w:t>Zeitverlängerungen werden sowohl bei Klausuren, z. B. um einen bestimmten Prozentanteil der tatsächlichen Prüfungszeit oder um tatsächlich anfallende Pausen, als auch durch verlängerte Abgabefristen für Hausarbeiten oder Abschlussarbeiten gewährt (54)</w:t>
      </w:r>
    </w:p>
    <w:p>
      <w:pPr>
        <w:numPr>
          <w:ilvl w:val="0"/>
          <w:numId w:val="15"/>
        </w:numPr>
        <w:spacing w:before="0" w:after="0"/>
        <w:jc w:val="left"/>
      </w:pPr>
      <w:r>
        <w:rPr>
          <w:rFonts w:ascii="Times New Roman" w:hAnsi="Times New Roman"/>
          <w:b w:val="false"/>
          <w:i w:val="false"/>
          <w:color w:val="000000"/>
          <w:sz w:val="22"/>
        </w:rPr>
        <w:t>Einzelne Prüfungstermine, z. B. mit Anpassung der Räumlichkeit (Akustik, Licht, Sitzplatz) als auch Anpassung der Termine, z. B. nicht kurz vor oder nach einer Behandlung (42)</w:t>
      </w:r>
    </w:p>
    <w:p>
      <w:pPr>
        <w:numPr>
          <w:ilvl w:val="0"/>
          <w:numId w:val="15"/>
        </w:numPr>
        <w:spacing w:before="0" w:after="0"/>
        <w:jc w:val="left"/>
      </w:pPr>
      <w:r>
        <w:rPr>
          <w:rFonts w:ascii="Times New Roman" w:hAnsi="Times New Roman"/>
          <w:b w:val="false"/>
          <w:i w:val="false"/>
          <w:color w:val="000000"/>
          <w:sz w:val="22"/>
        </w:rPr>
        <w:t>Modifikation der Prüfungsleistungen, z. B. werden Klausuren durch mündliche Prüfungen oder Projekte ersetzt (oder andersherum); mit der Einschränkung, dass die Modifikation fachlich passend und dem Lernziel angemessen sein muss (39)</w:t>
      </w:r>
    </w:p>
    <w:p>
      <w:pPr>
        <w:numPr>
          <w:ilvl w:val="0"/>
          <w:numId w:val="15"/>
        </w:numPr>
        <w:spacing w:before="0" w:after="0"/>
        <w:jc w:val="left"/>
      </w:pPr>
      <w:r>
        <w:rPr>
          <w:rFonts w:ascii="Times New Roman" w:hAnsi="Times New Roman"/>
          <w:b w:val="false"/>
          <w:i w:val="false"/>
          <w:color w:val="000000"/>
          <w:sz w:val="22"/>
        </w:rPr>
        <w:t>Nutzung von Hilfsmitteln (Screenreader, Braillezeilen etc.) und Assistenz, z. B. studentische Inklusionstutor*innen, Gebärdensprachdolmetscher*innen (36)</w:t>
      </w:r>
    </w:p>
    <w:p>
      <w:pPr>
        <w:numPr>
          <w:ilvl w:val="0"/>
          <w:numId w:val="15"/>
        </w:numPr>
        <w:spacing w:before="0" w:after="0"/>
        <w:jc w:val="left"/>
      </w:pPr>
      <w:r>
        <w:rPr>
          <w:rFonts w:ascii="Times New Roman" w:hAnsi="Times New Roman"/>
          <w:b w:val="false"/>
          <w:i w:val="false"/>
          <w:color w:val="000000"/>
          <w:sz w:val="22"/>
        </w:rPr>
        <w:t>Adaptierte Prüfungsunterlagen hinsichtlich Kontraste, Schriftgröße, Digital vs. Handschriftlich (29)</w:t>
      </w:r>
    </w:p>
    <w:p>
      <w:pPr>
        <w:numPr>
          <w:ilvl w:val="0"/>
          <w:numId w:val="15"/>
        </w:numPr>
        <w:spacing w:before="0" w:after="0"/>
        <w:jc w:val="left"/>
      </w:pPr>
      <w:r>
        <w:rPr>
          <w:rFonts w:ascii="Times New Roman" w:hAnsi="Times New Roman"/>
          <w:b w:val="false"/>
          <w:i w:val="false"/>
          <w:color w:val="000000"/>
          <w:sz w:val="22"/>
        </w:rPr>
        <w:t>Nichtberücksichtigung von Rechtschreibfehlern (7)</w:t>
      </w:r>
    </w:p>
    <w:p>
      <w:pPr>
        <w:numPr>
          <w:ilvl w:val="0"/>
          <w:numId w:val="15"/>
        </w:numPr>
        <w:spacing w:before="0" w:after="0"/>
        <w:jc w:val="left"/>
      </w:pPr>
      <w:r>
        <w:rPr>
          <w:rFonts w:ascii="Times New Roman" w:hAnsi="Times New Roman"/>
          <w:b w:val="false"/>
          <w:i w:val="false"/>
          <w:color w:val="000000"/>
          <w:sz w:val="22"/>
        </w:rPr>
        <w:t>Aufteilung von Studienleistungen in Einzelabschnitte (5)</w:t>
      </w:r>
    </w:p>
    <w:p>
      <w:pPr>
        <w:numPr>
          <w:ilvl w:val="0"/>
          <w:numId w:val="15"/>
        </w:numPr>
        <w:spacing w:before="0" w:after="0"/>
        <w:jc w:val="left"/>
      </w:pPr>
      <w:r>
        <w:rPr>
          <w:rFonts w:ascii="Times New Roman" w:hAnsi="Times New Roman"/>
          <w:b w:val="false"/>
          <w:i w:val="false"/>
          <w:color w:val="000000"/>
          <w:sz w:val="22"/>
        </w:rPr>
        <w:t>Entzerrung von Prüfungszeiträumen (4)</w:t>
      </w:r>
    </w:p>
    <w:p>
      <w:pPr>
        <w:numPr>
          <w:ilvl w:val="0"/>
          <w:numId w:val="15"/>
        </w:numPr>
        <w:spacing w:before="0" w:after="0"/>
        <w:jc w:val="left"/>
      </w:pPr>
      <w:r>
        <w:rPr>
          <w:rFonts w:ascii="Times New Roman" w:hAnsi="Times New Roman"/>
          <w:b w:val="false"/>
          <w:i w:val="false"/>
          <w:color w:val="000000"/>
          <w:sz w:val="22"/>
        </w:rPr>
        <w:t>Nicht-Berücksichtigung von behinderungsbedingten Prüfungsrücktritten (1)</w:t>
      </w:r>
    </w:p>
    <w:bookmarkStart w:name="f0e97d3abc3423f4726b43e2cc0a55b1" w:id="31"/>
    <w:p>
      <w:pPr>
        <w:spacing w:before="401" w:after="401"/>
        <w:ind w:left="120"/>
        <w:jc w:val="left"/>
      </w:pPr>
      <w:r>
        <w:rPr>
          <w:rFonts w:ascii="Times New Roman" w:hAnsi="Times New Roman"/>
          <w:b/>
          <w:i w:val="false"/>
          <w:color w:val="000000"/>
          <w:sz w:val="17"/>
        </w:rPr>
        <w:t>Nachteilsausgleiche im gesamten Studium:</w:t>
      </w:r>
    </w:p>
    <w:bookmarkEnd w:id="31"/>
    <w:p>
      <w:pPr>
        <w:numPr>
          <w:ilvl w:val="0"/>
          <w:numId w:val="16"/>
        </w:numPr>
        <w:spacing w:before="0" w:after="0"/>
        <w:jc w:val="left"/>
      </w:pPr>
      <w:r>
        <w:rPr>
          <w:rFonts w:ascii="Times New Roman" w:hAnsi="Times New Roman"/>
          <w:b w:val="false"/>
          <w:i w:val="false"/>
          <w:color w:val="000000"/>
          <w:sz w:val="22"/>
        </w:rPr>
        <w:t>Flexibilisierung bei Anwesenheitspflicht (5)</w:t>
      </w:r>
    </w:p>
    <w:p>
      <w:pPr>
        <w:numPr>
          <w:ilvl w:val="0"/>
          <w:numId w:val="16"/>
        </w:numPr>
        <w:spacing w:before="0" w:after="0"/>
        <w:jc w:val="left"/>
      </w:pPr>
      <w:r>
        <w:rPr>
          <w:rFonts w:ascii="Times New Roman" w:hAnsi="Times New Roman"/>
          <w:b w:val="false"/>
          <w:i w:val="false"/>
          <w:color w:val="000000"/>
          <w:sz w:val="22"/>
        </w:rPr>
        <w:t>Vorwahlrecht bei teilnahmebeschränkten Lehrveranstaltungen (3)</w:t>
      </w:r>
    </w:p>
    <w:p>
      <w:pPr>
        <w:numPr>
          <w:ilvl w:val="0"/>
          <w:numId w:val="16"/>
        </w:numPr>
        <w:spacing w:before="0" w:after="0"/>
        <w:jc w:val="left"/>
      </w:pPr>
      <w:r>
        <w:rPr>
          <w:rFonts w:ascii="Times New Roman" w:hAnsi="Times New Roman"/>
          <w:b w:val="false"/>
          <w:i w:val="false"/>
          <w:color w:val="000000"/>
          <w:sz w:val="22"/>
        </w:rPr>
        <w:t>Verlegung von Lehrveranstaltungen in zugängliche Räume, Anschaffung notwendiger Einrichtungen und Ausstattungen (1)</w:t>
      </w:r>
    </w:p>
    <w:p>
      <w:pPr>
        <w:numPr>
          <w:ilvl w:val="0"/>
          <w:numId w:val="16"/>
        </w:numPr>
        <w:spacing w:before="0" w:after="0"/>
        <w:jc w:val="left"/>
      </w:pPr>
      <w:r>
        <w:rPr>
          <w:rFonts w:ascii="Times New Roman" w:hAnsi="Times New Roman"/>
          <w:b w:val="false"/>
          <w:i w:val="false"/>
          <w:color w:val="000000"/>
          <w:sz w:val="22"/>
        </w:rPr>
        <w:t>Materialien werden vorab zur Verfügung gestellt (1)</w:t>
      </w:r>
    </w:p>
    <w:bookmarkStart w:name="b843fdee1e2c8e3d048f83133b66777e" w:id="32"/>
    <w:p>
      <w:pPr>
        <w:pStyle w:val="Heading4"/>
        <w:spacing w:before="360" w:after="360"/>
        <w:ind w:left="120"/>
        <w:jc w:val="left"/>
      </w:pPr>
      <w:r>
        <w:rPr>
          <w:rFonts w:ascii="Times New Roman" w:hAnsi="Times New Roman"/>
          <w:i w:val="false"/>
          <w:color w:val="000000"/>
          <w:sz w:val="18"/>
        </w:rPr>
        <w:t>Service zur barrierefreien Umsetzung von Studienmaterialien</w:t>
      </w:r>
    </w:p>
    <w:bookmarkEnd w:id="32"/>
    <w:p>
      <w:pPr>
        <w:spacing w:before="269" w:after="269"/>
        <w:ind w:left="120"/>
        <w:jc w:val="left"/>
      </w:pPr>
      <w:r>
        <w:rPr>
          <w:rFonts w:ascii="Times New Roman" w:hAnsi="Times New Roman"/>
          <w:b w:val="false"/>
          <w:i w:val="false"/>
          <w:color w:val="000000"/>
          <w:sz w:val="22"/>
        </w:rPr>
        <w:t>An 77 % der Hochschulen ist kein Service zur barrierefreien Umsetzung von Studienmaterialien (Umsetzungsdienst) für Studierende mit Sehbeeinträchtigungen und Blindheit vorhanden.</w:t>
      </w:r>
    </w:p>
    <w:p>
      <w:pPr>
        <w:spacing w:before="0" w:after="0"/>
        <w:ind w:left="120"/>
        <w:jc w:val="left"/>
      </w:pPr>
      <w:r>
        <w:drawing>
          <wp:inline distT="0" distB="0" distL="0" distR="0">
            <wp:extent cx="4476750" cy="3714750"/>
            <wp:effectExtent l="0" t="0" r="0" b="0"/>
            <wp:docPr id="11" name="" descr="Kreisdiagramm: 22 Ja (23 %) und 74 Nein (77 %)"/>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76750" cy="3714750"/>
                    </a:xfrm>
                    <a:prstGeom prst="rect">
                      <a:avLst/>
                    </a:prstGeom>
                  </pic:spPr>
                </pic:pic>
              </a:graphicData>
            </a:graphic>
          </wp:inline>
        </w:drawing>
      </w:r>
    </w:p>
    <w:p>
      <w:pPr>
        <w:pStyle w:val="Caption"/>
        <w:spacing w:before="0" w:after="0"/>
        <w:ind w:left="120"/>
        <w:jc w:val="left"/>
      </w:pPr>
      <w:r>
        <w:t xml:space="preserve">Figure </w:t>
      </w:r>
      <w:fldSimple w:instr=" SEQ Figure  \* ARABIC ">
        <w:r>
          <w:t>10</w:t>
        </w:r>
      </w:fldSimple>
      <w:r>
        <w:rPr>
          <w:rFonts w:ascii="Times New Roman" w:hAnsi="Times New Roman"/>
        </w:rPr>
        <w:t>Abbildung 10: Gibt es an Ihrer Hochschule einen Service zur barrierefreien Umsetzung von Studienmaterialien (Umsetzungsdienst) für Studierende mit Sehbeeinträchtigung und Blindheit?</w:t>
      </w:r>
    </w:p>
    <w:p>
      <w:pPr>
        <w:spacing w:before="269" w:after="269"/>
        <w:ind w:left="120"/>
        <w:jc w:val="left"/>
      </w:pPr>
      <w:r>
        <w:rPr>
          <w:rFonts w:ascii="Times New Roman" w:hAnsi="Times New Roman"/>
          <w:b w:val="false"/>
          <w:i w:val="false"/>
          <w:color w:val="000000"/>
          <w:sz w:val="22"/>
        </w:rPr>
        <w:t>Bei den 22 Hochschulen, die einen Umsetzungsdienst haben, handelt es sich ausschließlich um Universitäten und Fachhochschulen bzw. Hochschulen für Angewandte Wissenschaften. Dabei fällt auf, dass die 22 Hochschulen mit Umsetzungsdienst auch die übrigen fachlichen Ja-/Nein-Fragen überwiegend positiv beantwortet haben. Dies lässt annehmen, dass an diesen Hochschulen eine größere Sensibilität für das Thema digitale Barrierefreiheit herrscht.</w:t>
      </w:r>
    </w:p>
    <w:p>
      <w:pPr>
        <w:spacing w:before="0" w:after="0"/>
        <w:ind w:left="120"/>
        <w:jc w:val="left"/>
      </w:pPr>
      <w:r>
        <w:drawing>
          <wp:inline distT="0" distB="0" distL="0" distR="0">
            <wp:extent cx="5732145" cy="4246970"/>
            <wp:effectExtent l="0" t="0" r="0" b="0"/>
            <wp:docPr id="12" name="" descr="Gestapeltes Säulendiagramm veranschaulicht die Anzahl der von den Hochschulen positiv beantworteten Fragen - in Abhängigkeit des Vorhandenseins von Umsetzungsdiensten (Details in der nachfolgenden Tabelle)"/>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32145" cy="4246970"/>
                    </a:xfrm>
                    <a:prstGeom prst="rect">
                      <a:avLst/>
                    </a:prstGeom>
                  </pic:spPr>
                </pic:pic>
              </a:graphicData>
            </a:graphic>
          </wp:inline>
        </w:drawing>
      </w:r>
    </w:p>
    <w:p>
      <w:pPr>
        <w:pStyle w:val="Caption"/>
        <w:spacing w:before="0" w:after="0"/>
        <w:ind w:left="120"/>
        <w:jc w:val="left"/>
      </w:pPr>
      <w:r>
        <w:t xml:space="preserve">Figure </w:t>
      </w:r>
      <w:fldSimple w:instr=" SEQ Figure  \* ARABIC ">
        <w:r>
          <w:t>11</w:t>
        </w:r>
      </w:fldSimple>
      <w:r>
        <w:rPr>
          <w:rFonts w:ascii="Times New Roman" w:hAnsi="Times New Roman"/>
        </w:rPr>
        <w:t>Abbildung 11: Wie viele der 18 fachlichen Ja-/Nein-Fragen wurden von den Hochschulen mit und ohne Umsetzungsdienst positiv mit „Ja“ beantwortet? Die im Säulendiagramm verwendeten Abkürzungen stehen für: ohne UD = Hochschule ohne Umsetzungsdienst, mit UD = Hochschule mit Umsetzungsdienst</w:t>
      </w:r>
    </w:p>
    <w:tbl>
      <w:tblPr>
        <w:tblW w:w="0" w:type="auto"/>
        <w:tblCellSpacing w:w="20" w:type="dxa"/>
        <w:tblBorders>
          <w:top w:val="none"/>
          <w:left w:val="none"/>
          <w:bottom w:val="none"/>
          <w:right w:val="none"/>
          <w:insideH w:val="none"/>
          <w:insideV w:val="none"/>
        </w:tblBorders>
      </w:tblPr>
      <w:tblGrid>
        <w:gridCol w:w="4953"/>
        <w:gridCol w:w="952"/>
        <w:gridCol w:w="952"/>
        <w:gridCol w:w="952"/>
        <w:gridCol w:w="1272"/>
        <w:gridCol w:w="1272"/>
        <w:gridCol w:w="1272"/>
      </w:tblGrid>
      <w:tr>
        <w:trPr>
          <w:trHeight w:val="300" w:hRule="atLeast"/>
        </w:trPr>
        <w:tc>
          <w:tcPr>
            <w:tcW w:w="4953" w:type="dxa"/>
            <w:vMerge w:val="restart"/>
            <w:tcBorders/>
            <w:tcMar>
              <w:top w:w="15" w:type="dxa"/>
              <w:left w:w="15" w:type="dxa"/>
              <w:bottom w:w="15" w:type="dxa"/>
              <w:right w:w="15" w:type="dxa"/>
            </w:tcMar>
            <w:vAlign w:val="center"/>
          </w:tcPr>
          <w:p/>
        </w:tc>
        <w:tc>
          <w:tcPr>
            <w:tcW w:w="0" w:type="auto"/>
            <w:gridSpan w:val="6"/>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Anzahl der positiv beantworteten Fragen</w:t>
            </w:r>
          </w:p>
        </w:tc>
      </w:tr>
      <w:tr>
        <w:trPr>
          <w:trHeight w:val="300" w:hRule="atLeast"/>
        </w:trPr>
        <w:tc>
          <w:tcPr>
            <w:tcW w:w="0" w:type="auto"/>
            <w:vMerge/>
            <w:tcBorders>
              <w:top w:val="nil"/>
            </w:tcBorders>
          </w:tcP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1 bis 3</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4 bis 6</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7 bis 9</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10 bis 12</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13 bis 15</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16 bis 18</w:t>
            </w:r>
          </w:p>
        </w:tc>
      </w:tr>
      <w:tr>
        <w:trPr>
          <w:trHeight w:val="300" w:hRule="atLeast"/>
        </w:trPr>
        <w:tc>
          <w:tcPr>
            <w:tcW w:w="495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Hochschule ohne Umsetzungsdienst</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6</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11</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22</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19</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15</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w:t>
            </w:r>
          </w:p>
        </w:tc>
      </w:tr>
      <w:tr>
        <w:trPr>
          <w:trHeight w:val="300" w:hRule="atLeast"/>
        </w:trPr>
        <w:tc>
          <w:tcPr>
            <w:tcW w:w="495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Hochschule mit Umsetzungsdienst</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c>
          <w:tcPr>
            <w:tcW w:w="95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0</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7</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11</w:t>
            </w:r>
          </w:p>
        </w:tc>
        <w:tc>
          <w:tcPr>
            <w:tcW w:w="1272"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4</w:t>
            </w:r>
          </w:p>
        </w:tc>
      </w:tr>
    </w:tbl>
    <w:bookmarkStart w:name="9592e1b55386611971562115e3c15ce4" w:id="33"/>
    <w:p>
      <w:pPr>
        <w:pStyle w:val="Heading3"/>
        <w:spacing w:before="269" w:after="269"/>
        <w:ind w:left="120"/>
        <w:jc w:val="left"/>
      </w:pPr>
      <w:r>
        <w:rPr>
          <w:rFonts w:ascii="Times New Roman" w:hAnsi="Times New Roman"/>
          <w:color w:val="000000"/>
        </w:rPr>
        <w:t>Themenbereich: Sicht auf Prozesse</w:t>
      </w:r>
    </w:p>
    <w:bookmarkEnd w:id="33"/>
    <w:p>
      <w:pPr>
        <w:spacing w:before="269" w:after="269"/>
        <w:ind w:left="120"/>
        <w:jc w:val="left"/>
      </w:pPr>
      <w:r>
        <w:rPr>
          <w:rFonts w:ascii="Times New Roman" w:hAnsi="Times New Roman"/>
          <w:b w:val="false"/>
          <w:i w:val="false"/>
          <w:color w:val="000000"/>
          <w:sz w:val="22"/>
        </w:rPr>
        <w:t>Die Umfrage zu den Prozessen an Hochschulen hinsichtlich digitaler Barrierefreiheit zeigt mehrere Ergebnisse.</w:t>
      </w:r>
    </w:p>
    <w:bookmarkStart w:name="266ce53234ecf030e12296058be85ec1" w:id="34"/>
    <w:p>
      <w:pPr>
        <w:pStyle w:val="Heading4"/>
        <w:spacing w:before="360" w:after="360"/>
        <w:ind w:left="120"/>
        <w:jc w:val="left"/>
      </w:pPr>
      <w:r>
        <w:rPr>
          <w:rFonts w:ascii="Times New Roman" w:hAnsi="Times New Roman"/>
          <w:i w:val="false"/>
          <w:color w:val="000000"/>
          <w:sz w:val="18"/>
        </w:rPr>
        <w:t>Schnuppertage und assistive Technologien</w:t>
      </w:r>
    </w:p>
    <w:bookmarkEnd w:id="34"/>
    <w:p>
      <w:pPr>
        <w:spacing w:before="269" w:after="269"/>
        <w:ind w:left="120"/>
        <w:jc w:val="left"/>
      </w:pPr>
      <w:r>
        <w:rPr>
          <w:rFonts w:ascii="Times New Roman" w:hAnsi="Times New Roman"/>
          <w:b w:val="false"/>
          <w:i w:val="false"/>
          <w:color w:val="000000"/>
          <w:sz w:val="22"/>
        </w:rPr>
        <w:t>Von den befragten Hochschulen geben 84 Hochschulen (87,5 %) an, dass es bei ihnen keinen Schnuppertag gibt, bei dem explizit assistive Technologien vorgestellt und ausprobiert werden können. Lediglich 12 Hochschulen (12,5 %) bieten ihren Studieninteressierten ein derartiges Angebot.</w:t>
      </w:r>
    </w:p>
    <w:p>
      <w:pPr>
        <w:spacing w:before="0" w:after="0"/>
        <w:ind w:left="120"/>
        <w:jc w:val="left"/>
      </w:pPr>
      <w:r>
        <w:drawing>
          <wp:inline distT="0" distB="0" distL="0" distR="0">
            <wp:extent cx="4476750" cy="3714750"/>
            <wp:effectExtent l="0" t="0" r="0" b="0"/>
            <wp:docPr id="13" name="" descr="Kreisdiagramm: 12 Ja (12,5 %) und 84 Nein (87,5 %)"/>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76750" cy="3714750"/>
                    </a:xfrm>
                    <a:prstGeom prst="rect">
                      <a:avLst/>
                    </a:prstGeom>
                  </pic:spPr>
                </pic:pic>
              </a:graphicData>
            </a:graphic>
          </wp:inline>
        </w:drawing>
      </w:r>
    </w:p>
    <w:p>
      <w:pPr>
        <w:pStyle w:val="Caption"/>
        <w:spacing w:before="0" w:after="0"/>
        <w:ind w:left="120"/>
        <w:jc w:val="left"/>
      </w:pPr>
      <w:r>
        <w:t xml:space="preserve">Figure </w:t>
      </w:r>
      <w:fldSimple w:instr=" SEQ Figure  \* ARABIC ">
        <w:r>
          <w:t>12</w:t>
        </w:r>
      </w:fldSimple>
      <w:r>
        <w:rPr>
          <w:rFonts w:ascii="Times New Roman" w:hAnsi="Times New Roman"/>
        </w:rPr>
        <w:t>Abbildung 12: Gibt es einen Schnuppertag, bei dem z.B. explizit assistive Technologien vorgestellt und ausprobiert werden können?</w:t>
      </w:r>
    </w:p>
    <w:p>
      <w:pPr>
        <w:spacing w:before="269" w:after="269"/>
        <w:ind w:left="120"/>
        <w:jc w:val="left"/>
      </w:pPr>
      <w:r>
        <w:rPr>
          <w:rFonts w:ascii="Times New Roman" w:hAnsi="Times New Roman"/>
          <w:b w:val="false"/>
          <w:i w:val="false"/>
          <w:color w:val="000000"/>
          <w:sz w:val="22"/>
        </w:rPr>
        <w:t>Im Allgemeinen verfolgen Schnuppertage das Ziel, potenziellen Studieninteressierten einen Einblick in die Hochschule, den Campus sowie ausgewählte Studiengänge und Lehrveranstaltungen zu geben. Die Vorstellung assistiver Technologien bei einem Schnuppertag kann zum einen genutzt werden, um Lehr- und Forschungsaktivitäten der Hochschule zum Thema Barrierefreiheit zu bewerben. Zum anderen stellt sie eine Möglichkeit dar, um die Attraktivität der Hochschule für Studieninteressierte mit Behinderung zu erhöhen. Der Anteil der Hochschulen, die dieses Potenzial nutzen, ist jedoch vergleichsweise gering.</w:t>
      </w:r>
    </w:p>
    <w:bookmarkStart w:name="3426a9e537a0892526f97ff04d0f47a6" w:id="35"/>
    <w:p>
      <w:pPr>
        <w:pStyle w:val="Heading4"/>
        <w:spacing w:before="360" w:after="360"/>
        <w:ind w:left="120"/>
        <w:jc w:val="left"/>
      </w:pPr>
      <w:r>
        <w:rPr>
          <w:rFonts w:ascii="Times New Roman" w:hAnsi="Times New Roman"/>
          <w:i w:val="false"/>
          <w:color w:val="000000"/>
          <w:sz w:val="18"/>
        </w:rPr>
        <w:t>Kooperation und Austausch</w:t>
      </w:r>
    </w:p>
    <w:bookmarkEnd w:id="35"/>
    <w:p>
      <w:pPr>
        <w:spacing w:before="269" w:after="269"/>
        <w:ind w:left="120"/>
        <w:jc w:val="left"/>
      </w:pPr>
      <w:r>
        <w:rPr>
          <w:rFonts w:ascii="Times New Roman" w:hAnsi="Times New Roman"/>
          <w:b w:val="false"/>
          <w:i w:val="false"/>
          <w:color w:val="000000"/>
          <w:sz w:val="22"/>
        </w:rPr>
        <w:t>Die Frage, ob es eine Abstimmung/Koordination mit anderen Hochschulen bezüglich der Umsetzung digitaler Barrierefreiheit gibt, wird von 55 Hochschulen (57 %) mit Nein und von 41 Hochschulen (43 %) mit Ja beantwortet.</w:t>
      </w:r>
    </w:p>
    <w:p>
      <w:pPr>
        <w:spacing w:before="0" w:after="0"/>
        <w:ind w:left="120"/>
        <w:jc w:val="left"/>
      </w:pPr>
      <w:r>
        <w:drawing>
          <wp:inline distT="0" distB="0" distL="0" distR="0">
            <wp:extent cx="4476750" cy="3600450"/>
            <wp:effectExtent l="0" t="0" r="0" b="0"/>
            <wp:docPr id="14" name="" descr="Kreisdiagramm: 41 Ja (43 %) und 55 Nein (57 %)"/>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76750" cy="3600450"/>
                    </a:xfrm>
                    <a:prstGeom prst="rect">
                      <a:avLst/>
                    </a:prstGeom>
                  </pic:spPr>
                </pic:pic>
              </a:graphicData>
            </a:graphic>
          </wp:inline>
        </w:drawing>
      </w:r>
    </w:p>
    <w:p>
      <w:pPr>
        <w:pStyle w:val="Caption"/>
        <w:spacing w:before="0" w:after="0"/>
        <w:ind w:left="120"/>
        <w:jc w:val="left"/>
      </w:pPr>
      <w:r>
        <w:t xml:space="preserve">Figure </w:t>
      </w:r>
      <w:fldSimple w:instr=" SEQ Figure  \* ARABIC ">
        <w:r>
          <w:t>13</w:t>
        </w:r>
      </w:fldSimple>
      <w:r>
        <w:rPr>
          <w:rFonts w:ascii="Times New Roman" w:hAnsi="Times New Roman"/>
        </w:rPr>
        <w:t>Abbildung 13: Gibt es eine Abstimmung/Koordination mit anderen Hochschulen bezüglich der Umsetzung digitaler Barrierefreiheit?</w:t>
      </w:r>
    </w:p>
    <w:p>
      <w:pPr>
        <w:spacing w:before="269" w:after="269"/>
        <w:ind w:left="120"/>
        <w:jc w:val="left"/>
      </w:pPr>
      <w:r>
        <w:rPr>
          <w:rFonts w:ascii="Times New Roman" w:hAnsi="Times New Roman"/>
          <w:b w:val="false"/>
          <w:i w:val="false"/>
          <w:color w:val="000000"/>
          <w:sz w:val="22"/>
        </w:rPr>
        <w:t>Zu welchen Themen eine Abstimmung/Koordination existiert, wurde an dieser Stelle nicht explizit erfragt. Dennoch lassen die Antworten zu anderen offenen Fragen einige Themen erahnen, bei denen eine Kooperation grundsätzlich denkbar und sinnvoll wäre, z. B.: fachlicher Austausch in hochschulübergreifenden Gremien, die Mitnutzung der Umsetzungsdienste und Kompetenzzentren anderer Hochschulen (in Ermangelung eigener Einrichtungen) oder die Verbesserung der Zugänglichkeit übergreifender IT-Lösungen durch gemeinsame Forderungen.</w:t>
      </w:r>
    </w:p>
    <w:bookmarkStart w:name="e37dddb7ff111232a812f005b886025d" w:id="36"/>
    <w:p>
      <w:pPr>
        <w:pStyle w:val="Heading4"/>
        <w:spacing w:before="360" w:after="360"/>
        <w:ind w:left="120"/>
        <w:jc w:val="left"/>
      </w:pPr>
      <w:r>
        <w:rPr>
          <w:rFonts w:ascii="Times New Roman" w:hAnsi="Times New Roman"/>
          <w:i w:val="false"/>
          <w:color w:val="000000"/>
          <w:sz w:val="18"/>
        </w:rPr>
        <w:t>Unterstützungsangebote für Mitarbeitende und Lehrende</w:t>
      </w:r>
    </w:p>
    <w:bookmarkEnd w:id="36"/>
    <w:p>
      <w:pPr>
        <w:spacing w:before="269" w:after="269"/>
        <w:ind w:left="120"/>
        <w:jc w:val="left"/>
      </w:pPr>
      <w:r>
        <w:rPr>
          <w:rFonts w:ascii="Times New Roman" w:hAnsi="Times New Roman"/>
          <w:b w:val="false"/>
          <w:i w:val="false"/>
          <w:color w:val="000000"/>
          <w:sz w:val="22"/>
        </w:rPr>
        <w:t>Die Fragen zu Unterstützungsangeboten für Mitarbeitende und Lehrende bei der barrierefreien Gestaltung von Inhalten und Lehrmaterialien wurden von den Hochschulen wie folgt beantwortet. 75 Hochschulen (78 %) berichten von unterstützenden Maßnahmen, wie beispielsweise Weiterbildungen, die darauf abzielen, die Lehre an ihrer Institution barrierefreier zu gestalten.</w:t>
      </w:r>
    </w:p>
    <w:p>
      <w:pPr>
        <w:spacing w:before="0" w:after="0"/>
        <w:ind w:left="120"/>
        <w:jc w:val="left"/>
      </w:pPr>
      <w:r>
        <w:drawing>
          <wp:inline distT="0" distB="0" distL="0" distR="0">
            <wp:extent cx="5732145" cy="3318610"/>
            <wp:effectExtent l="0" t="0" r="0" b="0"/>
            <wp:docPr id="15" name="" descr="Kreisdiagramm: 75 Ja (78 %) und 21 Nein (22 %)"/>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732145" cy="3318610"/>
                    </a:xfrm>
                    <a:prstGeom prst="rect">
                      <a:avLst/>
                    </a:prstGeom>
                  </pic:spPr>
                </pic:pic>
              </a:graphicData>
            </a:graphic>
          </wp:inline>
        </w:drawing>
      </w:r>
    </w:p>
    <w:p>
      <w:pPr>
        <w:pStyle w:val="Caption"/>
        <w:spacing w:before="0" w:after="0"/>
        <w:ind w:left="120"/>
        <w:jc w:val="left"/>
      </w:pPr>
      <w:r>
        <w:t xml:space="preserve">Figure </w:t>
      </w:r>
      <w:fldSimple w:instr=" SEQ Figure  \* ARABIC ">
        <w:r>
          <w:t>14</w:t>
        </w:r>
      </w:fldSimple>
      <w:r>
        <w:rPr>
          <w:rFonts w:ascii="Times New Roman" w:hAnsi="Times New Roman"/>
        </w:rPr>
        <w:t>Abbildung 14: Gibt es an Ihrer Hochschule unterstützende Maßnahmen, damit Ihre Lehre barrierefrei(er) wird?</w:t>
      </w:r>
    </w:p>
    <w:p>
      <w:pPr>
        <w:spacing w:before="269" w:after="269"/>
        <w:ind w:left="120"/>
        <w:jc w:val="left"/>
      </w:pPr>
      <w:r>
        <w:rPr>
          <w:rFonts w:ascii="Times New Roman" w:hAnsi="Times New Roman"/>
          <w:b w:val="false"/>
          <w:i w:val="false"/>
          <w:color w:val="000000"/>
          <w:sz w:val="22"/>
        </w:rPr>
        <w:t>Die Frage, welche unterstützenden Maßnahmen es gibt, um die Lehre barrierefrei(er) zu gestalten, wird von den Hochschulen wie folgt beantwortet:</w:t>
      </w:r>
    </w:p>
    <w:p>
      <w:pPr>
        <w:numPr>
          <w:ilvl w:val="0"/>
          <w:numId w:val="17"/>
        </w:numPr>
        <w:spacing w:before="0" w:after="0"/>
        <w:jc w:val="left"/>
      </w:pPr>
      <w:r>
        <w:rPr>
          <w:rFonts w:ascii="Times New Roman" w:hAnsi="Times New Roman"/>
          <w:b w:val="false"/>
          <w:i w:val="false"/>
          <w:color w:val="000000"/>
          <w:sz w:val="22"/>
        </w:rPr>
        <w:t>Fortbildungen, Schulungen und Workshops (darunter sowohl interne als auch externe Angebote) (67)</w:t>
      </w:r>
    </w:p>
    <w:p>
      <w:pPr>
        <w:numPr>
          <w:ilvl w:val="0"/>
          <w:numId w:val="17"/>
        </w:numPr>
        <w:spacing w:before="0" w:after="0"/>
        <w:jc w:val="left"/>
      </w:pPr>
      <w:r>
        <w:rPr>
          <w:rFonts w:ascii="Times New Roman" w:hAnsi="Times New Roman"/>
          <w:b w:val="false"/>
          <w:i w:val="false"/>
          <w:color w:val="000000"/>
          <w:sz w:val="22"/>
        </w:rPr>
        <w:t>Onlineangebote zum Selbstlernen (z. B. Moodle-Kurse, Videos, E-Learning-Angebote) (29)</w:t>
      </w:r>
    </w:p>
    <w:p>
      <w:pPr>
        <w:numPr>
          <w:ilvl w:val="0"/>
          <w:numId w:val="17"/>
        </w:numPr>
        <w:spacing w:before="0" w:after="0"/>
        <w:jc w:val="left"/>
      </w:pPr>
      <w:r>
        <w:rPr>
          <w:rFonts w:ascii="Times New Roman" w:hAnsi="Times New Roman"/>
          <w:b w:val="false"/>
          <w:i w:val="false"/>
          <w:color w:val="000000"/>
          <w:sz w:val="22"/>
        </w:rPr>
        <w:t>Individuelle Beratung, Unterstützung und Umsetzung bei der Erstellung barrierefreier Materialien (z. B. durch Support-Center) (21)</w:t>
      </w:r>
    </w:p>
    <w:p>
      <w:pPr>
        <w:numPr>
          <w:ilvl w:val="0"/>
          <w:numId w:val="17"/>
        </w:numPr>
        <w:spacing w:before="0" w:after="0"/>
        <w:jc w:val="left"/>
      </w:pPr>
      <w:r>
        <w:rPr>
          <w:rFonts w:ascii="Times New Roman" w:hAnsi="Times New Roman"/>
          <w:b w:val="false"/>
          <w:i w:val="false"/>
          <w:color w:val="000000"/>
          <w:sz w:val="22"/>
        </w:rPr>
        <w:t>Handreichungen, Merkblätter, Leitfäden u. Ä. (19)</w:t>
      </w:r>
    </w:p>
    <w:p>
      <w:pPr>
        <w:numPr>
          <w:ilvl w:val="0"/>
          <w:numId w:val="17"/>
        </w:numPr>
        <w:spacing w:before="0" w:after="0"/>
        <w:jc w:val="left"/>
      </w:pPr>
      <w:r>
        <w:rPr>
          <w:rFonts w:ascii="Times New Roman" w:hAnsi="Times New Roman"/>
          <w:b w:val="false"/>
          <w:i w:val="false"/>
          <w:color w:val="000000"/>
          <w:sz w:val="22"/>
        </w:rPr>
        <w:t>Bereitstellung von Dokumentenvorlagen und sonstige unterstützende Materialien zur Erstellung barrierefreier Dokumente (7)</w:t>
      </w:r>
    </w:p>
    <w:p>
      <w:pPr>
        <w:numPr>
          <w:ilvl w:val="0"/>
          <w:numId w:val="17"/>
        </w:numPr>
        <w:spacing w:before="0" w:after="0"/>
        <w:jc w:val="left"/>
      </w:pPr>
      <w:r>
        <w:rPr>
          <w:rFonts w:ascii="Times New Roman" w:hAnsi="Times New Roman"/>
          <w:b w:val="false"/>
          <w:i w:val="false"/>
          <w:color w:val="000000"/>
          <w:sz w:val="22"/>
        </w:rPr>
        <w:t>Sonstige Angebote (z. B. Peer-Angebote, Stammtische, Bereitstellung von Software) (14)</w:t>
      </w:r>
    </w:p>
    <w:p>
      <w:pPr>
        <w:spacing w:before="269" w:after="269"/>
        <w:ind w:left="120"/>
        <w:jc w:val="left"/>
      </w:pPr>
      <w:r>
        <w:rPr>
          <w:rFonts w:ascii="Times New Roman" w:hAnsi="Times New Roman"/>
          <w:b w:val="false"/>
          <w:i w:val="false"/>
          <w:color w:val="000000"/>
          <w:sz w:val="22"/>
        </w:rPr>
        <w:t>Ergänzend hierzu wurde in der Umfrage gefragt, ob Dozierende, beispielsweise über PowerPoint-Vorlagen, Informationen bekommen, wie ein Foliensatz barrierefrei erstellt werden kann. Dies wurde von 57 Hochschulen (59 %) mit Ja und von 39 Hochschulen (41 %) mit Nein beantwortet.</w:t>
      </w:r>
    </w:p>
    <w:p>
      <w:pPr>
        <w:spacing w:before="0" w:after="0"/>
        <w:ind w:left="120"/>
        <w:jc w:val="left"/>
      </w:pPr>
      <w:r>
        <w:drawing>
          <wp:inline distT="0" distB="0" distL="0" distR="0">
            <wp:extent cx="4476750" cy="3667125"/>
            <wp:effectExtent l="0" t="0" r="0" b="0"/>
            <wp:docPr id="16" name="" descr="Kreisdiagramm: 57 Ja (59 %) und 39 Nein (41 %)"/>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76750" cy="3667125"/>
                    </a:xfrm>
                    <a:prstGeom prst="rect">
                      <a:avLst/>
                    </a:prstGeom>
                  </pic:spPr>
                </pic:pic>
              </a:graphicData>
            </a:graphic>
          </wp:inline>
        </w:drawing>
      </w:r>
    </w:p>
    <w:p>
      <w:pPr>
        <w:pStyle w:val="Caption"/>
        <w:spacing w:before="0" w:after="0"/>
        <w:ind w:left="120"/>
        <w:jc w:val="left"/>
      </w:pPr>
      <w:r>
        <w:t xml:space="preserve">Figure </w:t>
      </w:r>
      <w:fldSimple w:instr=" SEQ Figure  \* ARABIC ">
        <w:r>
          <w:t>15</w:t>
        </w:r>
      </w:fldSimple>
      <w:r>
        <w:rPr>
          <w:rFonts w:ascii="Times New Roman" w:hAnsi="Times New Roman"/>
        </w:rPr>
        <w:t>Abbildung 15: Bekommen Dozierende, beispielsweise über PowerPoint-Vorlagen, Informationen dazu, wie ein Foliensatz barrierefrei erstellt werden kann?</w:t>
      </w:r>
    </w:p>
    <w:p>
      <w:pPr>
        <w:spacing w:before="269" w:after="269"/>
        <w:ind w:left="120"/>
        <w:jc w:val="left"/>
      </w:pPr>
      <w:r>
        <w:rPr>
          <w:rFonts w:ascii="Times New Roman" w:hAnsi="Times New Roman"/>
          <w:b w:val="false"/>
          <w:i w:val="false"/>
          <w:color w:val="000000"/>
          <w:sz w:val="22"/>
        </w:rPr>
        <w:t>An dieser Stelle sei angemerkt, dass das Vorhandensein von Unterstützungs- und Informationsangeboten allein noch nichts über die tatsächliche Zugänglichkeit der Lehrmaterialien aussagt. Denn wie stark die einzelnen Unterstützungs- und Informationsangebote von Dozierenden, Mitarbeitenden und Lehrenden tatsächlich genutzt werden und in welchem Umfang das vermittelte Wissen angewendet wird, kann durch die Umfrage nicht beantwortet werden.</w:t>
      </w:r>
    </w:p>
    <w:bookmarkStart w:name="9076c6b47c2f1b4692ebddfd24ccd6e4" w:id="37"/>
    <w:p>
      <w:pPr>
        <w:pStyle w:val="Heading4"/>
        <w:spacing w:before="360" w:after="360"/>
        <w:ind w:left="120"/>
        <w:jc w:val="left"/>
      </w:pPr>
      <w:r>
        <w:rPr>
          <w:rFonts w:ascii="Times New Roman" w:hAnsi="Times New Roman"/>
          <w:i w:val="false"/>
          <w:color w:val="000000"/>
          <w:sz w:val="18"/>
        </w:rPr>
        <w:t>Kommunikation von barrierefreien Angeboten</w:t>
      </w:r>
    </w:p>
    <w:bookmarkEnd w:id="37"/>
    <w:p>
      <w:pPr>
        <w:spacing w:before="269" w:after="269"/>
        <w:ind w:left="120"/>
        <w:jc w:val="left"/>
      </w:pPr>
      <w:r>
        <w:rPr>
          <w:rFonts w:ascii="Times New Roman" w:hAnsi="Times New Roman"/>
          <w:b w:val="false"/>
          <w:i w:val="false"/>
          <w:color w:val="000000"/>
          <w:sz w:val="22"/>
        </w:rPr>
        <w:t>Die Informationen zu barrierefreien Angeboten werden an den Hochschulen unterschiedlich kommuniziert. Auf die Frage, bei welcher Zielgruppe die Angebote bekannt gemacht werden, antworten 13 Umfrage-Teilnehmende (13,5 %) mit „Das ist mir nicht bekannt". Die Antworten der übrigen Hochschulen ergeben, dass die Angebote in 80 % der Fälle bei Dozierenden bekannt gemacht werden, in 74 % bei den Mitarbeitenden und lediglich in 57 % bei den Studierenden.</w:t>
      </w:r>
    </w:p>
    <w:p>
      <w:pPr>
        <w:spacing w:before="0" w:after="0"/>
        <w:ind w:left="120"/>
        <w:jc w:val="left"/>
      </w:pPr>
      <w:r>
        <w:drawing>
          <wp:inline distT="0" distB="0" distL="0" distR="0">
            <wp:extent cx="5732145" cy="2926200"/>
            <wp:effectExtent l="0" t="0" r="0" b="0"/>
            <wp:docPr id="17" name="" descr="Gestapeltes Säulendiagramm veranschaulicht die Zustimmungswerte für die Bekanntmachung von Informationsangeboten bei den Zielgruppen Dozierende, Mitarbeitende und Studierende (Details in der nachfolgenden Tabelle)"/>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732145" cy="2926200"/>
                    </a:xfrm>
                    <a:prstGeom prst="rect">
                      <a:avLst/>
                    </a:prstGeom>
                  </pic:spPr>
                </pic:pic>
              </a:graphicData>
            </a:graphic>
          </wp:inline>
        </w:drawing>
      </w:r>
    </w:p>
    <w:p>
      <w:pPr>
        <w:pStyle w:val="Caption"/>
        <w:spacing w:before="0" w:after="0"/>
        <w:ind w:left="120"/>
        <w:jc w:val="left"/>
      </w:pPr>
      <w:r>
        <w:t xml:space="preserve">Figure </w:t>
      </w:r>
      <w:fldSimple w:instr=" SEQ Figure  \* ARABIC ">
        <w:r>
          <w:t>16</w:t>
        </w:r>
      </w:fldSimple>
      <w:r>
        <w:rPr>
          <w:rFonts w:ascii="Times New Roman" w:hAnsi="Times New Roman"/>
        </w:rPr>
        <w:t>Abbildung 16: Bei welcher Zielgruppe werden die Angebote an Ihrer Hochschule bekannt gemacht?</w:t>
      </w:r>
    </w:p>
    <w:tbl>
      <w:tblPr>
        <w:tblW w:w="0" w:type="auto"/>
        <w:tblCellSpacing w:w="20" w:type="dxa"/>
        <w:tblBorders>
          <w:top w:val="none"/>
          <w:left w:val="none"/>
          <w:bottom w:val="none"/>
          <w:right w:val="none"/>
          <w:insideH w:val="none"/>
          <w:insideV w:val="none"/>
        </w:tblBorders>
      </w:tblPr>
      <w:tblGrid>
        <w:gridCol w:w="1583"/>
        <w:gridCol w:w="1627"/>
        <w:gridCol w:w="2036"/>
        <w:gridCol w:w="1734"/>
      </w:tblGrid>
      <w:tr>
        <w:trPr>
          <w:trHeight w:val="300" w:hRule="atLeast"/>
        </w:trPr>
        <w:tc>
          <w:tcPr>
            <w:tcW w:w="1583" w:type="dxa"/>
            <w:vMerge w:val="restart"/>
            <w:tcBorders/>
            <w:tcMar>
              <w:top w:w="15" w:type="dxa"/>
              <w:left w:w="15" w:type="dxa"/>
              <w:bottom w:w="15" w:type="dxa"/>
              <w:right w:w="15" w:type="dxa"/>
            </w:tcMar>
            <w:vAlign w:val="center"/>
          </w:tcPr>
          <w:p/>
        </w:tc>
        <w:tc>
          <w:tcPr>
            <w:tcW w:w="0" w:type="auto"/>
            <w:gridSpan w:val="3"/>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Bekanntmachung bei den Zielgruppen</w:t>
            </w:r>
          </w:p>
        </w:tc>
      </w:tr>
      <w:tr>
        <w:trPr>
          <w:trHeight w:val="300" w:hRule="atLeast"/>
        </w:trPr>
        <w:tc>
          <w:tcPr>
            <w:tcW w:w="0" w:type="auto"/>
            <w:vMerge/>
            <w:tcBorders>
              <w:top w:val="nil"/>
            </w:tcBorders>
          </w:tcPr>
          <w:p/>
        </w:tc>
        <w:tc>
          <w:tcPr>
            <w:tcW w:w="1627"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Dozierende</w:t>
            </w:r>
          </w:p>
        </w:tc>
        <w:tc>
          <w:tcPr>
            <w:tcW w:w="2036"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Mitarbeitende</w:t>
            </w:r>
          </w:p>
        </w:tc>
        <w:tc>
          <w:tcPr>
            <w:tcW w:w="1734" w:type="dxa"/>
            <w:tcBorders/>
            <w:tcMar>
              <w:top w:w="15" w:type="dxa"/>
              <w:left w:w="15" w:type="dxa"/>
              <w:bottom w:w="15" w:type="dxa"/>
              <w:right w:w="15" w:type="dxa"/>
            </w:tcMar>
            <w:vAlign w:val="center"/>
          </w:tcPr>
          <w:p>
            <w:pPr>
              <w:spacing w:before="0" w:after="0"/>
              <w:ind w:left="0"/>
              <w:jc w:val="center"/>
            </w:pPr>
            <w:r>
              <w:rPr>
                <w:rFonts w:ascii="Times New Roman" w:hAnsi="Times New Roman"/>
                <w:b/>
                <w:i w:val="false"/>
                <w:color w:val="000000"/>
                <w:sz w:val="22"/>
              </w:rPr>
              <w:t>Studierende</w:t>
            </w:r>
          </w:p>
        </w:tc>
      </w:tr>
      <w:tr>
        <w:trPr>
          <w:trHeight w:val="300" w:hRule="atLeast"/>
        </w:trPr>
        <w:tc>
          <w:tcPr>
            <w:tcW w:w="158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Weiß nicht</w:t>
            </w:r>
          </w:p>
        </w:tc>
        <w:tc>
          <w:tcPr>
            <w:tcW w:w="1627"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13,5 % (13)</w:t>
            </w:r>
          </w:p>
        </w:tc>
        <w:tc>
          <w:tcPr>
            <w:tcW w:w="2036"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13,5 % (13)</w:t>
            </w:r>
          </w:p>
        </w:tc>
        <w:tc>
          <w:tcPr>
            <w:tcW w:w="1734"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13,5 % (13)</w:t>
            </w:r>
          </w:p>
        </w:tc>
      </w:tr>
      <w:tr>
        <w:trPr>
          <w:trHeight w:val="300" w:hRule="atLeast"/>
        </w:trPr>
        <w:tc>
          <w:tcPr>
            <w:tcW w:w="158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Nein</w:t>
            </w:r>
          </w:p>
        </w:tc>
        <w:tc>
          <w:tcPr>
            <w:tcW w:w="1627"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6,3 % (6)</w:t>
            </w:r>
          </w:p>
        </w:tc>
        <w:tc>
          <w:tcPr>
            <w:tcW w:w="2036"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12,5 % (12)</w:t>
            </w:r>
          </w:p>
        </w:tc>
        <w:tc>
          <w:tcPr>
            <w:tcW w:w="1734"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29,2 % (28)</w:t>
            </w:r>
          </w:p>
        </w:tc>
      </w:tr>
      <w:tr>
        <w:trPr>
          <w:trHeight w:val="300" w:hRule="atLeast"/>
        </w:trPr>
        <w:tc>
          <w:tcPr>
            <w:tcW w:w="158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Ja</w:t>
            </w:r>
          </w:p>
        </w:tc>
        <w:tc>
          <w:tcPr>
            <w:tcW w:w="1627"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80,2 % (77)</w:t>
            </w:r>
          </w:p>
        </w:tc>
        <w:tc>
          <w:tcPr>
            <w:tcW w:w="2036"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74 % (71)</w:t>
            </w:r>
          </w:p>
        </w:tc>
        <w:tc>
          <w:tcPr>
            <w:tcW w:w="1734" w:type="dxa"/>
            <w:tcBorders/>
            <w:tcMar>
              <w:top w:w="15" w:type="dxa"/>
              <w:left w:w="15" w:type="dxa"/>
              <w:bottom w:w="15" w:type="dxa"/>
              <w:right w:w="15" w:type="dxa"/>
            </w:tcMar>
            <w:vAlign w:val="center"/>
          </w:tcPr>
          <w:p>
            <w:pPr>
              <w:spacing w:before="0" w:after="0"/>
              <w:ind w:left="0"/>
              <w:jc w:val="center"/>
            </w:pPr>
            <w:r>
              <w:rPr>
                <w:rFonts w:ascii="Times New Roman" w:hAnsi="Times New Roman"/>
                <w:b w:val="false"/>
                <w:i w:val="false"/>
                <w:color w:val="000000"/>
                <w:sz w:val="22"/>
              </w:rPr>
              <w:t>57,3 % (55)</w:t>
            </w:r>
          </w:p>
        </w:tc>
      </w:tr>
    </w:tbl>
    <w:p>
      <w:pPr>
        <w:spacing w:before="269" w:after="269"/>
        <w:ind w:left="120"/>
        <w:jc w:val="left"/>
      </w:pPr>
      <w:r>
        <w:rPr>
          <w:rFonts w:ascii="Times New Roman" w:hAnsi="Times New Roman"/>
          <w:b w:val="false"/>
          <w:i w:val="false"/>
          <w:color w:val="000000"/>
          <w:sz w:val="22"/>
        </w:rPr>
        <w:t>Ergänzend hierzu wurde in der Umfrage gefragt, wie die Angebote der Hochschule bekannt gemacht werden. Dabei zeigt sich, dass an den meisten Hochschulen mehrere Kommunikationskanäle zum Einsatz kommen, um barrierefreie Angebote bekannt zu machen:</w:t>
      </w:r>
    </w:p>
    <w:p>
      <w:pPr>
        <w:numPr>
          <w:ilvl w:val="0"/>
          <w:numId w:val="18"/>
        </w:numPr>
        <w:spacing w:before="0" w:after="0"/>
        <w:jc w:val="left"/>
      </w:pPr>
      <w:r>
        <w:rPr>
          <w:rFonts w:ascii="Times New Roman" w:hAnsi="Times New Roman"/>
          <w:b w:val="false"/>
          <w:i w:val="false"/>
          <w:color w:val="000000"/>
          <w:sz w:val="22"/>
        </w:rPr>
        <w:t>E-Mail-Kommunikation (z. B. E-Mails, Newsletter, Rundmails) (74)</w:t>
      </w:r>
    </w:p>
    <w:p>
      <w:pPr>
        <w:numPr>
          <w:ilvl w:val="0"/>
          <w:numId w:val="18"/>
        </w:numPr>
        <w:spacing w:before="0" w:after="0"/>
        <w:jc w:val="left"/>
      </w:pPr>
      <w:r>
        <w:rPr>
          <w:rFonts w:ascii="Times New Roman" w:hAnsi="Times New Roman"/>
          <w:b w:val="false"/>
          <w:i w:val="false"/>
          <w:color w:val="000000"/>
          <w:sz w:val="22"/>
        </w:rPr>
        <w:t>Webseite (43)</w:t>
      </w:r>
    </w:p>
    <w:p>
      <w:pPr>
        <w:numPr>
          <w:ilvl w:val="0"/>
          <w:numId w:val="18"/>
        </w:numPr>
        <w:spacing w:before="0" w:after="0"/>
        <w:jc w:val="left"/>
      </w:pPr>
      <w:r>
        <w:rPr>
          <w:rFonts w:ascii="Times New Roman" w:hAnsi="Times New Roman"/>
          <w:b w:val="false"/>
          <w:i w:val="false"/>
          <w:color w:val="000000"/>
          <w:sz w:val="22"/>
        </w:rPr>
        <w:t>Printmedien (z. B. Aushänge, Flyer) (24)</w:t>
      </w:r>
    </w:p>
    <w:p>
      <w:pPr>
        <w:numPr>
          <w:ilvl w:val="0"/>
          <w:numId w:val="18"/>
        </w:numPr>
        <w:spacing w:before="0" w:after="0"/>
        <w:jc w:val="left"/>
      </w:pPr>
      <w:r>
        <w:rPr>
          <w:rFonts w:ascii="Times New Roman" w:hAnsi="Times New Roman"/>
          <w:b w:val="false"/>
          <w:i w:val="false"/>
          <w:color w:val="000000"/>
          <w:sz w:val="22"/>
        </w:rPr>
        <w:t>Social Media (18)</w:t>
      </w:r>
    </w:p>
    <w:p>
      <w:pPr>
        <w:numPr>
          <w:ilvl w:val="0"/>
          <w:numId w:val="18"/>
        </w:numPr>
        <w:spacing w:before="0" w:after="0"/>
        <w:jc w:val="left"/>
      </w:pPr>
      <w:r>
        <w:rPr>
          <w:rFonts w:ascii="Times New Roman" w:hAnsi="Times New Roman"/>
          <w:b w:val="false"/>
          <w:i w:val="false"/>
          <w:color w:val="000000"/>
          <w:sz w:val="22"/>
        </w:rPr>
        <w:t>Intranet (17)</w:t>
      </w:r>
    </w:p>
    <w:p>
      <w:pPr>
        <w:numPr>
          <w:ilvl w:val="0"/>
          <w:numId w:val="18"/>
        </w:numPr>
        <w:spacing w:before="0" w:after="0"/>
        <w:jc w:val="left"/>
      </w:pPr>
      <w:r>
        <w:rPr>
          <w:rFonts w:ascii="Times New Roman" w:hAnsi="Times New Roman"/>
          <w:b w:val="false"/>
          <w:i w:val="false"/>
          <w:color w:val="000000"/>
          <w:sz w:val="22"/>
        </w:rPr>
        <w:t>Einzelansprache und Beratungsgespräche (13)</w:t>
      </w:r>
    </w:p>
    <w:p>
      <w:pPr>
        <w:numPr>
          <w:ilvl w:val="0"/>
          <w:numId w:val="18"/>
        </w:numPr>
        <w:spacing w:before="0" w:after="0"/>
        <w:jc w:val="left"/>
      </w:pPr>
      <w:r>
        <w:rPr>
          <w:rFonts w:ascii="Times New Roman" w:hAnsi="Times New Roman"/>
          <w:b w:val="false"/>
          <w:i w:val="false"/>
          <w:color w:val="000000"/>
          <w:sz w:val="22"/>
        </w:rPr>
        <w:t>Weiterbildungsangebote der Personalentwicklung und Fortbildungsportale (13)</w:t>
      </w:r>
    </w:p>
    <w:p>
      <w:pPr>
        <w:numPr>
          <w:ilvl w:val="0"/>
          <w:numId w:val="18"/>
        </w:numPr>
        <w:spacing w:before="0" w:after="0"/>
        <w:jc w:val="left"/>
      </w:pPr>
      <w:r>
        <w:rPr>
          <w:rFonts w:ascii="Times New Roman" w:hAnsi="Times New Roman"/>
          <w:b w:val="false"/>
          <w:i w:val="false"/>
          <w:color w:val="000000"/>
          <w:sz w:val="22"/>
        </w:rPr>
        <w:t>Informationsveranstaltungen, Events u. Ä. (13)</w:t>
      </w:r>
    </w:p>
    <w:p>
      <w:pPr>
        <w:numPr>
          <w:ilvl w:val="0"/>
          <w:numId w:val="18"/>
        </w:numPr>
        <w:spacing w:before="0" w:after="0"/>
        <w:jc w:val="left"/>
      </w:pPr>
      <w:r>
        <w:rPr>
          <w:rFonts w:ascii="Times New Roman" w:hAnsi="Times New Roman"/>
          <w:b w:val="false"/>
          <w:i w:val="false"/>
          <w:color w:val="000000"/>
          <w:sz w:val="22"/>
        </w:rPr>
        <w:t>Öffentlichkeitsarbeit (z. B. Pressemitteilungen, Veranstaltungsankündigungen, Schwarzes Brett, Fernsehbeiträge, Monitore) (11)</w:t>
      </w:r>
    </w:p>
    <w:p>
      <w:pPr>
        <w:numPr>
          <w:ilvl w:val="0"/>
          <w:numId w:val="18"/>
        </w:numPr>
        <w:spacing w:before="0" w:after="0"/>
        <w:jc w:val="left"/>
      </w:pPr>
      <w:r>
        <w:rPr>
          <w:rFonts w:ascii="Times New Roman" w:hAnsi="Times New Roman"/>
          <w:b w:val="false"/>
          <w:i w:val="false"/>
          <w:color w:val="000000"/>
          <w:sz w:val="22"/>
        </w:rPr>
        <w:t>Informationsweitergabe in/über universitäre Gremien (z. B. AStA und Referate, Senatssitzung) (9)</w:t>
      </w:r>
    </w:p>
    <w:p>
      <w:pPr>
        <w:numPr>
          <w:ilvl w:val="0"/>
          <w:numId w:val="18"/>
        </w:numPr>
        <w:spacing w:before="0" w:after="0"/>
        <w:jc w:val="left"/>
      </w:pPr>
      <w:r>
        <w:rPr>
          <w:rFonts w:ascii="Times New Roman" w:hAnsi="Times New Roman"/>
          <w:b w:val="false"/>
          <w:i w:val="false"/>
          <w:color w:val="000000"/>
          <w:sz w:val="22"/>
        </w:rPr>
        <w:t>Kommunikation über verschiedene Interessenvertretungen und deren Portale (z. B. Diversitätsbüro, Inklusionsbeauftragte, Schwerbehindertenvertretung) (9)</w:t>
      </w:r>
    </w:p>
    <w:p>
      <w:pPr>
        <w:numPr>
          <w:ilvl w:val="0"/>
          <w:numId w:val="18"/>
        </w:numPr>
        <w:spacing w:before="0" w:after="0"/>
        <w:jc w:val="left"/>
      </w:pPr>
      <w:r>
        <w:rPr>
          <w:rFonts w:ascii="Times New Roman" w:hAnsi="Times New Roman"/>
          <w:b w:val="false"/>
          <w:i w:val="false"/>
          <w:color w:val="000000"/>
          <w:sz w:val="22"/>
        </w:rPr>
        <w:t>Ankündigung auf Veranstaltungen und in Seminaren (8)</w:t>
      </w:r>
    </w:p>
    <w:p>
      <w:pPr>
        <w:numPr>
          <w:ilvl w:val="0"/>
          <w:numId w:val="18"/>
        </w:numPr>
        <w:spacing w:before="0" w:after="0"/>
        <w:jc w:val="left"/>
      </w:pPr>
      <w:r>
        <w:rPr>
          <w:rFonts w:ascii="Times New Roman" w:hAnsi="Times New Roman"/>
          <w:b w:val="false"/>
          <w:i w:val="false"/>
          <w:color w:val="000000"/>
          <w:sz w:val="22"/>
        </w:rPr>
        <w:t>Interne Kommunikationskanäle (z. B. Chats, Feeds, Campus-App) (5)</w:t>
      </w:r>
    </w:p>
    <w:p>
      <w:pPr>
        <w:numPr>
          <w:ilvl w:val="0"/>
          <w:numId w:val="18"/>
        </w:numPr>
        <w:spacing w:before="0" w:after="0"/>
        <w:jc w:val="left"/>
      </w:pPr>
      <w:r>
        <w:rPr>
          <w:rFonts w:ascii="Times New Roman" w:hAnsi="Times New Roman"/>
          <w:b w:val="false"/>
          <w:i w:val="false"/>
          <w:color w:val="000000"/>
          <w:sz w:val="22"/>
        </w:rPr>
        <w:t>Informationsveranstaltung während der Einführungswoche (5)</w:t>
      </w:r>
    </w:p>
    <w:p>
      <w:pPr>
        <w:numPr>
          <w:ilvl w:val="0"/>
          <w:numId w:val="18"/>
        </w:numPr>
        <w:spacing w:before="0" w:after="0"/>
        <w:jc w:val="left"/>
      </w:pPr>
      <w:r>
        <w:rPr>
          <w:rFonts w:ascii="Times New Roman" w:hAnsi="Times New Roman"/>
          <w:b w:val="false"/>
          <w:i w:val="false"/>
          <w:color w:val="000000"/>
          <w:sz w:val="22"/>
        </w:rPr>
        <w:t>Online-Plattformen (4)</w:t>
      </w:r>
    </w:p>
    <w:p>
      <w:pPr>
        <w:numPr>
          <w:ilvl w:val="0"/>
          <w:numId w:val="18"/>
        </w:numPr>
        <w:spacing w:before="0" w:after="0"/>
        <w:jc w:val="left"/>
      </w:pPr>
      <w:r>
        <w:rPr>
          <w:rFonts w:ascii="Times New Roman" w:hAnsi="Times New Roman"/>
          <w:b w:val="false"/>
          <w:i w:val="false"/>
          <w:color w:val="000000"/>
          <w:sz w:val="22"/>
        </w:rPr>
        <w:t>Lernplattform (4)</w:t>
      </w:r>
    </w:p>
    <w:p>
      <w:pPr>
        <w:numPr>
          <w:ilvl w:val="0"/>
          <w:numId w:val="18"/>
        </w:numPr>
        <w:spacing w:before="0" w:after="0"/>
        <w:jc w:val="left"/>
      </w:pPr>
      <w:r>
        <w:rPr>
          <w:rFonts w:ascii="Times New Roman" w:hAnsi="Times New Roman"/>
          <w:b w:val="false"/>
          <w:i w:val="false"/>
          <w:color w:val="000000"/>
          <w:sz w:val="22"/>
        </w:rPr>
        <w:t>zentrales Informationssystem (z. B. KIS, StudIP) (3)</w:t>
      </w:r>
    </w:p>
    <w:p>
      <w:pPr>
        <w:numPr>
          <w:ilvl w:val="0"/>
          <w:numId w:val="18"/>
        </w:numPr>
        <w:spacing w:before="0" w:after="0"/>
        <w:jc w:val="left"/>
      </w:pPr>
      <w:r>
        <w:rPr>
          <w:rFonts w:ascii="Times New Roman" w:hAnsi="Times New Roman"/>
          <w:b w:val="false"/>
          <w:i w:val="false"/>
          <w:color w:val="000000"/>
          <w:sz w:val="22"/>
        </w:rPr>
        <w:t>Informationsweitergabe zu Semesterstart an die Lehrenden und Beratenden (3)</w:t>
      </w:r>
    </w:p>
    <w:p>
      <w:pPr>
        <w:numPr>
          <w:ilvl w:val="0"/>
          <w:numId w:val="18"/>
        </w:numPr>
        <w:spacing w:before="0" w:after="0"/>
        <w:jc w:val="left"/>
      </w:pPr>
      <w:r>
        <w:rPr>
          <w:rFonts w:ascii="Times New Roman" w:hAnsi="Times New Roman"/>
          <w:b w:val="false"/>
          <w:i w:val="false"/>
          <w:color w:val="000000"/>
          <w:sz w:val="22"/>
        </w:rPr>
        <w:t>Dozenten- und Professorenversammlungen (2)</w:t>
      </w:r>
    </w:p>
    <w:p>
      <w:pPr>
        <w:numPr>
          <w:ilvl w:val="0"/>
          <w:numId w:val="18"/>
        </w:numPr>
        <w:spacing w:before="0" w:after="0"/>
        <w:jc w:val="left"/>
      </w:pPr>
      <w:r>
        <w:rPr>
          <w:rFonts w:ascii="Times New Roman" w:hAnsi="Times New Roman"/>
          <w:b w:val="false"/>
          <w:i w:val="false"/>
          <w:color w:val="000000"/>
          <w:sz w:val="22"/>
        </w:rPr>
        <w:t>Sonstiges (z. B. Meetings, hybride Austauschformate) (3)</w:t>
      </w:r>
    </w:p>
    <w:bookmarkStart w:name="a7196a3ee2975c25700f58c2481c7041" w:id="38"/>
    <w:p>
      <w:pPr>
        <w:pStyle w:val="Heading4"/>
        <w:spacing w:before="360" w:after="360"/>
        <w:ind w:left="120"/>
        <w:jc w:val="left"/>
      </w:pPr>
      <w:r>
        <w:rPr>
          <w:rFonts w:ascii="Times New Roman" w:hAnsi="Times New Roman"/>
          <w:i w:val="false"/>
          <w:color w:val="000000"/>
          <w:sz w:val="18"/>
        </w:rPr>
        <w:t>Prüfung digitaler Angebote</w:t>
      </w:r>
    </w:p>
    <w:bookmarkEnd w:id="38"/>
    <w:p>
      <w:pPr>
        <w:spacing w:before="269" w:after="269"/>
        <w:ind w:left="120"/>
        <w:jc w:val="left"/>
      </w:pPr>
      <w:r>
        <w:rPr>
          <w:rFonts w:ascii="Times New Roman" w:hAnsi="Times New Roman"/>
          <w:b w:val="false"/>
          <w:i w:val="false"/>
          <w:color w:val="000000"/>
          <w:sz w:val="22"/>
        </w:rPr>
        <w:t>Bezüglich der Frage, ob die digitalen Angebote der Hochschule regelmäßig auf Barrierefreiheit geprüft werden, antworten 41 Hochschulen (43 %) mit „Nein, bisher noch nicht" während 55 Hochschulen (57 %) mit „Ja" antworten. Von den Hochschulen, deren Angebote regelmäßig auf Barrierefreiheit geprüft werden, geben 36 Hochschulen (37 %) an, dass sie eine Prüfung durch Selbstbewertung durchführen, während die Prüfung an den übrigen 19 Hochschulen (20 %) durch externe Dritte erfolgt.</w:t>
      </w:r>
    </w:p>
    <w:p>
      <w:pPr>
        <w:spacing w:before="0" w:after="0"/>
        <w:ind w:left="120"/>
        <w:jc w:val="left"/>
      </w:pPr>
      <w:r>
        <w:drawing>
          <wp:inline distT="0" distB="0" distL="0" distR="0">
            <wp:extent cx="4476750" cy="3533775"/>
            <wp:effectExtent l="0" t="0" r="0" b="0"/>
            <wp:docPr id="18" name="" descr="Kreisdiagramm: 19 Ja, durch Dritte (20 %), 36 Ja, durch Selbstbewertung (37 %) und 41 Nein (43 %)"/>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76750" cy="3533775"/>
                    </a:xfrm>
                    <a:prstGeom prst="rect">
                      <a:avLst/>
                    </a:prstGeom>
                  </pic:spPr>
                </pic:pic>
              </a:graphicData>
            </a:graphic>
          </wp:inline>
        </w:drawing>
      </w:r>
    </w:p>
    <w:p>
      <w:pPr>
        <w:pStyle w:val="Caption"/>
        <w:spacing w:before="0" w:after="0"/>
        <w:ind w:left="120"/>
        <w:jc w:val="left"/>
      </w:pPr>
      <w:r>
        <w:t xml:space="preserve">Figure </w:t>
      </w:r>
      <w:fldSimple w:instr=" SEQ Figure  \* ARABIC ">
        <w:r>
          <w:t>17</w:t>
        </w:r>
      </w:fldSimple>
      <w:r>
        <w:rPr>
          <w:rFonts w:ascii="Times New Roman" w:hAnsi="Times New Roman"/>
        </w:rPr>
        <w:t>Abbildung 17: Werden die digitalen Angebote Ihrer Hochschule regelmäßig auf Barrierefreiheit geprüft?</w:t>
      </w:r>
    </w:p>
    <w:p>
      <w:pPr>
        <w:spacing w:before="269" w:after="269"/>
        <w:ind w:left="120"/>
        <w:jc w:val="left"/>
      </w:pPr>
      <w:r>
        <w:rPr>
          <w:rFonts w:ascii="Times New Roman" w:hAnsi="Times New Roman"/>
          <w:b w:val="false"/>
          <w:i w:val="false"/>
          <w:color w:val="000000"/>
          <w:sz w:val="22"/>
        </w:rPr>
        <w:t>Bei der Interpretation der genannten Zahlen ist zu berücksichtigen, dass die Hochschulen bei der Beantwortung der Frage gezwungen waren, eine verallgemeinernde Antwort zu geben. Aufgrund der Vielzahl digitaler Angebote an Hochschulen ist anzunehmen, dass eine pauschale Beantwortung schwierig ist und es im Einzelfall zu Abweichungen kommen kann. Dies spiegelt sich auch in den folgenden Antworten wider.</w:t>
      </w:r>
    </w:p>
    <w:p>
      <w:pPr>
        <w:spacing w:before="269" w:after="269"/>
        <w:ind w:left="120"/>
        <w:jc w:val="left"/>
      </w:pPr>
      <w:r>
        <w:rPr>
          <w:rFonts w:ascii="Times New Roman" w:hAnsi="Times New Roman"/>
          <w:b w:val="false"/>
          <w:i w:val="false"/>
          <w:color w:val="000000"/>
          <w:sz w:val="22"/>
        </w:rPr>
        <w:t>So sollten jene Hochschulen, die angaben, dass ihre Angebote regelmäßig durch Dritte geprüft werden, zusätzlich angeben, durch wen die Prüfung erfolgt. Dabei wurde lediglich 10-mal eine externe Agentur oder ein Dienstleister genannt und 8-mal die Überwachungsstelle des jeweiligen Landes. Zwei Hochschulen machen keine konkrete Angabe dazu, durch wen die Prüfung durch Dritte erfolgt.</w:t>
      </w:r>
    </w:p>
    <w:p>
      <w:pPr>
        <w:spacing w:before="269" w:after="269"/>
        <w:ind w:left="120"/>
        <w:jc w:val="left"/>
      </w:pPr>
      <w:r>
        <w:rPr>
          <w:rFonts w:ascii="Times New Roman" w:hAnsi="Times New Roman"/>
          <w:b w:val="false"/>
          <w:i w:val="false"/>
          <w:color w:val="000000"/>
          <w:sz w:val="22"/>
        </w:rPr>
        <w:t>Bei genauerer Betrachtung der einzelnen Antworten fällt auf, dass viele Hochschulen bei der Erläuterung zur Prüfung durch Dritte Einschränkungen machen, z. B. indem sie angeben, dass lediglich Teile der digitalen Angebote bzw. einzelne Webseiten und Anwendungen durch Dritte geprüft werden, oder dass die Prüfung durch Dritte nicht regelmäßig stattfindet. Auch das Stichwort „Selbstbewertung" bzw. „Selbsttest" findet sich in mehreren Antworten wieder. Das liegt daran, dass die Barrierefreiheitsprüfung in diesen Fällen eine Kombination aus Fremd- und Selbstbewertung darstellt, beispielsweise indem zuerst eine externe Prüfung und anschließend eine Selbstbewertung vorgenommen wird oder weil die Selbstbewertung eine Zuarbeit durch Dritte beinhaltet.</w:t>
      </w:r>
    </w:p>
    <w:bookmarkStart w:name="8a940fee773d5a73f20249d0af44ef3a" w:id="39"/>
    <w:p>
      <w:pPr>
        <w:pStyle w:val="Heading4"/>
        <w:spacing w:before="360" w:after="360"/>
        <w:ind w:left="120"/>
        <w:jc w:val="left"/>
      </w:pPr>
      <w:r>
        <w:rPr>
          <w:rFonts w:ascii="Times New Roman" w:hAnsi="Times New Roman"/>
          <w:i w:val="false"/>
          <w:color w:val="000000"/>
          <w:sz w:val="18"/>
        </w:rPr>
        <w:t>Pflege und Aktualisierung</w:t>
      </w:r>
    </w:p>
    <w:bookmarkEnd w:id="39"/>
    <w:p>
      <w:pPr>
        <w:spacing w:before="269" w:after="269"/>
        <w:ind w:left="120"/>
        <w:jc w:val="left"/>
      </w:pPr>
      <w:r>
        <w:rPr>
          <w:rFonts w:ascii="Times New Roman" w:hAnsi="Times New Roman"/>
          <w:b w:val="false"/>
          <w:i w:val="false"/>
          <w:color w:val="000000"/>
          <w:sz w:val="22"/>
        </w:rPr>
        <w:t>Die folgenden zwei Fragen beziehen sich auf die Pflege und Aktualisierung von Software und Hardware.</w:t>
      </w:r>
    </w:p>
    <w:p>
      <w:pPr>
        <w:spacing w:before="269" w:after="269"/>
        <w:ind w:left="120"/>
        <w:jc w:val="left"/>
      </w:pPr>
      <w:r>
        <w:rPr>
          <w:rFonts w:ascii="Times New Roman" w:hAnsi="Times New Roman"/>
          <w:b w:val="false"/>
          <w:i w:val="false"/>
          <w:color w:val="000000"/>
          <w:sz w:val="22"/>
        </w:rPr>
        <w:t>Im Sinne der digitalen Barrierefreiheit ist die Aktualität von Software ein wichtiger Faktor. Dies bezieht sich sowohl auf assistive Hilfssoftware für Menschen mit Behinderung, aber auch auf andere Bereiche – von der Systemsoftware (z. B. Betriebssystem) über Anwendungssoftware (z. B. Textverarbeitungsprogramme, Browser etc.), ggf. Eigenentwicklungen bis hin zu (selbstgehosteten) Web-Anwendungen und Online-Diensten (z. B. Lernplattformen, Managementsysteme, Konferenzsysteme etc.). Und auch bezüglich der Barrierefreiheit von Webseiten ist es relevant, die zugrundeliegende Software (z. B. Content-Management-Systeme, Frameworks und Bibliotheken) aktuell zu halten.</w:t>
      </w:r>
    </w:p>
    <w:p>
      <w:pPr>
        <w:spacing w:before="269" w:after="269"/>
        <w:ind w:left="120"/>
        <w:jc w:val="left"/>
      </w:pPr>
      <w:r>
        <w:rPr>
          <w:rFonts w:ascii="Times New Roman" w:hAnsi="Times New Roman"/>
          <w:b w:val="false"/>
          <w:i w:val="false"/>
          <w:color w:val="000000"/>
          <w:sz w:val="22"/>
        </w:rPr>
        <w:t>Für viele Software-Anbieter wird die barrierefreie Zugänglichkeit ihrer Anwendungen ein zunehmend wichtiges Thema – sei es die bloße Gestaltung der Nutzeroberfläche, die Interoperabilität mit assistiven Technologien, die Implementierung eigener Barrierefreiheitsfunktionen oder die Generierung eines barrierefreien Outputs. Um von derartigen Fortschritten profitieren zu können, ist es erforderlich, die eingesetzte Software aktuell zu halten.</w:t>
      </w:r>
    </w:p>
    <w:p>
      <w:pPr>
        <w:spacing w:before="269" w:after="269"/>
        <w:ind w:left="120"/>
        <w:jc w:val="left"/>
      </w:pPr>
      <w:r>
        <w:rPr>
          <w:rFonts w:ascii="Times New Roman" w:hAnsi="Times New Roman"/>
          <w:b w:val="false"/>
          <w:i w:val="false"/>
          <w:color w:val="000000"/>
          <w:sz w:val="22"/>
        </w:rPr>
        <w:t>Auf die Frage, wie eine regelmäßige Pflege und Aktualisierung der Software sichergestellt werden, antworten die Hochschulen unterschiedlich, insbesondere in Hinblick auf die Zuständigkeiten und Verantwortlichkeiten. Unterschiede zeigen sich dabei nicht nur zwischen den einzelnen Hochschulen, sondern auch innerhalb einer Hochschule – je nach Software, deren Einsatzbereich und den bestehenden Strukturen der Hochschule. Aus diesem Grund können im Folgenden nur die wesentlichen Strategien und Verantwortlichkeiten bei der Pflege und Aktualisierung von Software angeführt werden:</w:t>
      </w:r>
    </w:p>
    <w:p>
      <w:pPr>
        <w:numPr>
          <w:ilvl w:val="0"/>
          <w:numId w:val="19"/>
        </w:numPr>
        <w:spacing w:before="0" w:after="0"/>
        <w:jc w:val="left"/>
      </w:pPr>
      <w:r>
        <w:rPr>
          <w:rFonts w:ascii="Times New Roman" w:hAnsi="Times New Roman"/>
          <w:b/>
          <w:i w:val="false"/>
          <w:color w:val="000000"/>
          <w:sz w:val="22"/>
        </w:rPr>
        <w:t>Regelmäßige Überprüfung und Wartung durch zentrale IT-Einheiten:</w:t>
      </w:r>
      <w:r>
        <w:br/>
      </w:r>
      <w:r>
        <w:rPr>
          <w:rFonts w:ascii="Times New Roman" w:hAnsi="Times New Roman"/>
          <w:b w:val="false"/>
          <w:i w:val="false"/>
          <w:color w:val="000000"/>
          <w:sz w:val="22"/>
        </w:rPr>
        <w:t>Die regelmäßige Pflege und Aktualisierung der Software erfolgen durch die Mitarbeitenden der zentralen IT-Einheiten. Dazu gehören beispielsweise das Rechenzentrum, die zentralen IT-Abteilungen oder das IT-Service- bzw. Medienzentrum. Sie übernehmen insbesondere die Verantwortung für die Aktualität von Betriebssystemen oder verwaltungstechnischer Software. Dabei existieren festgelegte und strukturierte Prozesse zur Pflege und regelmäßigen Aktualisierung der Software (z. B. festgelegte Update-Routinen).</w:t>
      </w:r>
    </w:p>
    <w:p>
      <w:pPr>
        <w:numPr>
          <w:ilvl w:val="0"/>
          <w:numId w:val="19"/>
        </w:numPr>
        <w:spacing w:before="0" w:after="0"/>
        <w:jc w:val="left"/>
      </w:pPr>
      <w:r>
        <w:rPr>
          <w:rFonts w:ascii="Times New Roman" w:hAnsi="Times New Roman"/>
          <w:b/>
          <w:i w:val="false"/>
          <w:color w:val="000000"/>
          <w:sz w:val="22"/>
        </w:rPr>
        <w:t>Dezentrale Verantwortung und Eigenverantwortung:</w:t>
      </w:r>
      <w:r>
        <w:br/>
      </w:r>
      <w:r>
        <w:rPr>
          <w:rFonts w:ascii="Times New Roman" w:hAnsi="Times New Roman"/>
          <w:b w:val="false"/>
          <w:i w:val="false"/>
          <w:color w:val="000000"/>
          <w:sz w:val="22"/>
        </w:rPr>
        <w:t>Die Pflege und Aktualisierung der Software erfolgt dezentral in Eigenverantwortung der Fakultäten, Fachbereiche und Institutionen bzw. durch die zuständigen Administrationen oder Mitarbeitenden. Sie entscheiden selbst über die Pflege und Aktualisierung je nach Bedarf und Kapazität. Vereinzelt erfolgt die Aktualisierung von Software auch auf Eigeninitiative der Nutzenden.</w:t>
      </w:r>
    </w:p>
    <w:p>
      <w:pPr>
        <w:numPr>
          <w:ilvl w:val="0"/>
          <w:numId w:val="19"/>
        </w:numPr>
        <w:spacing w:before="0" w:after="0"/>
        <w:jc w:val="left"/>
      </w:pPr>
      <w:r>
        <w:rPr>
          <w:rFonts w:ascii="Times New Roman" w:hAnsi="Times New Roman"/>
          <w:b/>
          <w:i w:val="false"/>
          <w:color w:val="000000"/>
          <w:sz w:val="22"/>
        </w:rPr>
        <w:t>Verantwortlichkeiten für Barrierefreiheitssoftware:</w:t>
      </w:r>
      <w:r>
        <w:br/>
      </w:r>
      <w:r>
        <w:rPr>
          <w:rFonts w:ascii="Times New Roman" w:hAnsi="Times New Roman"/>
          <w:b w:val="false"/>
          <w:i w:val="false"/>
          <w:color w:val="000000"/>
          <w:sz w:val="22"/>
        </w:rPr>
        <w:t>Die Verantwortung für die Pflege und Aktualisierung des Hilfsmittelpools bzw. spezieller Barrierefreiheitssoftware liegt bei den Service- und Beratungsstellen bzw. den Beauftragten für Studierende mit Behinderung oder chronischen Erkrankungen. Sie übernehmen die Aktualisierung selbst oder initiieren diese bei anderen IT-Einheiten. Teilweise erfolgt</w:t>
      </w:r>
      <w:r>
        <w:br/>
      </w:r>
      <w:r>
        <w:rPr>
          <w:rFonts w:ascii="Times New Roman" w:hAnsi="Times New Roman"/>
          <w:b w:val="false"/>
          <w:i w:val="false"/>
          <w:color w:val="000000"/>
          <w:sz w:val="22"/>
        </w:rPr>
        <w:t>eine Aktualisierung auch auf Anfrage der Nutzenden.</w:t>
      </w:r>
    </w:p>
    <w:p>
      <w:pPr>
        <w:numPr>
          <w:ilvl w:val="0"/>
          <w:numId w:val="19"/>
        </w:numPr>
        <w:spacing w:before="0" w:after="0"/>
        <w:jc w:val="left"/>
      </w:pPr>
      <w:r>
        <w:rPr>
          <w:rFonts w:ascii="Times New Roman" w:hAnsi="Times New Roman"/>
          <w:b/>
          <w:i w:val="false"/>
          <w:color w:val="000000"/>
          <w:sz w:val="22"/>
        </w:rPr>
        <w:t>Wartung und Aktualisierung durch externe Dienstleister:</w:t>
      </w:r>
      <w:r>
        <w:br/>
      </w:r>
      <w:r>
        <w:rPr>
          <w:rFonts w:ascii="Times New Roman" w:hAnsi="Times New Roman"/>
          <w:b w:val="false"/>
          <w:i w:val="false"/>
          <w:color w:val="000000"/>
          <w:sz w:val="22"/>
        </w:rPr>
        <w:t>Externe Dienstleister oder beauftragte Agenturen übernehmen die regelmäßige Pflege und Aktualisierung der Software. Es bestehen Support- und Wartungsverträge.</w:t>
      </w:r>
    </w:p>
    <w:p>
      <w:pPr>
        <w:numPr>
          <w:ilvl w:val="0"/>
          <w:numId w:val="19"/>
        </w:numPr>
        <w:spacing w:before="0" w:after="0"/>
        <w:jc w:val="left"/>
      </w:pPr>
      <w:r>
        <w:rPr>
          <w:rFonts w:ascii="Times New Roman" w:hAnsi="Times New Roman"/>
          <w:b/>
          <w:i w:val="false"/>
          <w:color w:val="000000"/>
          <w:sz w:val="22"/>
        </w:rPr>
        <w:t>Regelmäßige Updates und Patches vom Hersteller:</w:t>
      </w:r>
      <w:r>
        <w:br/>
      </w:r>
      <w:r>
        <w:rPr>
          <w:rFonts w:ascii="Times New Roman" w:hAnsi="Times New Roman"/>
          <w:b w:val="false"/>
          <w:i w:val="false"/>
          <w:color w:val="000000"/>
          <w:sz w:val="22"/>
        </w:rPr>
        <w:t>Die Aktualisierung der Software erfolgt (zeitnah) durch Patches und Updates, die von den Herstellern der eingesetzten Anwendungen bereitgestellt werden. Häufig werden herstellerseitig Aktualisierungs- und Wartungszyklen (Rollout-Pläne) vorgegeben, u. a. um die IT- und Informationssicherheit zu gewährleisten.</w:t>
      </w:r>
    </w:p>
    <w:p>
      <w:pPr>
        <w:spacing w:before="269" w:after="269"/>
        <w:ind w:left="120"/>
        <w:jc w:val="left"/>
      </w:pPr>
      <w:r>
        <w:rPr>
          <w:rFonts w:ascii="Times New Roman" w:hAnsi="Times New Roman"/>
          <w:b w:val="false"/>
          <w:i w:val="false"/>
          <w:color w:val="000000"/>
          <w:sz w:val="22"/>
        </w:rPr>
        <w:t>Wie genau die Installation der Updates erfolgt, dafür gibt es verschiedene Ansätze:</w:t>
      </w:r>
    </w:p>
    <w:p>
      <w:pPr>
        <w:numPr>
          <w:ilvl w:val="0"/>
          <w:numId w:val="20"/>
        </w:numPr>
        <w:spacing w:before="0" w:after="0"/>
        <w:jc w:val="left"/>
      </w:pPr>
      <w:r>
        <w:rPr>
          <w:rFonts w:ascii="Times New Roman" w:hAnsi="Times New Roman"/>
          <w:b w:val="false"/>
          <w:i w:val="false"/>
          <w:color w:val="000000"/>
          <w:sz w:val="22"/>
        </w:rPr>
        <w:t>Die Software-Updates erfolgen automatisch innerhalb der jeweiligen Anwendung.</w:t>
      </w:r>
    </w:p>
    <w:p>
      <w:pPr>
        <w:numPr>
          <w:ilvl w:val="0"/>
          <w:numId w:val="20"/>
        </w:numPr>
        <w:spacing w:before="0" w:after="0"/>
        <w:jc w:val="left"/>
      </w:pPr>
      <w:r>
        <w:rPr>
          <w:rFonts w:ascii="Times New Roman" w:hAnsi="Times New Roman"/>
          <w:b w:val="false"/>
          <w:i w:val="false"/>
          <w:color w:val="000000"/>
          <w:sz w:val="22"/>
        </w:rPr>
        <w:t>Die Software-Verteilung erfolgt über ein zentrales, automatisiertes System, welches dafür sorgt, dass die Software auf PCs und Notebooks aktuell gehalten wird, ohne dass dabei manuelle Updates erforderlich sind.</w:t>
      </w:r>
    </w:p>
    <w:p>
      <w:pPr>
        <w:numPr>
          <w:ilvl w:val="0"/>
          <w:numId w:val="20"/>
        </w:numPr>
        <w:spacing w:before="0" w:after="0"/>
        <w:jc w:val="left"/>
      </w:pPr>
      <w:r>
        <w:rPr>
          <w:rFonts w:ascii="Times New Roman" w:hAnsi="Times New Roman"/>
          <w:b w:val="false"/>
          <w:i w:val="false"/>
          <w:color w:val="000000"/>
          <w:sz w:val="22"/>
        </w:rPr>
        <w:t>Teilweise kann eine manuelle Installation und Wartung von Software erforderlich sein, beispielsweise bei Spezialanwendungen oder wenn keine Softwareverteilungs- und Aktualisierungssoftware zur Verfügung steht.</w:t>
      </w:r>
    </w:p>
    <w:p>
      <w:pPr>
        <w:numPr>
          <w:ilvl w:val="0"/>
          <w:numId w:val="20"/>
        </w:numPr>
        <w:spacing w:before="0" w:after="0"/>
        <w:jc w:val="left"/>
      </w:pPr>
      <w:r>
        <w:rPr>
          <w:rFonts w:ascii="Times New Roman" w:hAnsi="Times New Roman"/>
          <w:b w:val="false"/>
          <w:i w:val="false"/>
          <w:color w:val="000000"/>
          <w:sz w:val="22"/>
        </w:rPr>
        <w:t>Aktualisierungen und Anpassungen der Software werden auf Basis von Feedback vorgenommen, z. B. anlassbezogen auf Anfrage oder bei Rückmeldungen der Nutzenden, oder nach Austausch in Netzwerken, Arbeitsgruppen und anderen Gremien.</w:t>
      </w:r>
    </w:p>
    <w:p>
      <w:pPr>
        <w:numPr>
          <w:ilvl w:val="0"/>
          <w:numId w:val="20"/>
        </w:numPr>
        <w:spacing w:before="0" w:after="0"/>
        <w:jc w:val="left"/>
      </w:pPr>
      <w:r>
        <w:rPr>
          <w:rFonts w:ascii="Times New Roman" w:hAnsi="Times New Roman"/>
          <w:b w:val="false"/>
          <w:i w:val="false"/>
          <w:color w:val="000000"/>
          <w:sz w:val="22"/>
        </w:rPr>
        <w:t>Es gibt keine oder nur unklare Reglungen für die Aktualisierung der Software.</w:t>
      </w:r>
    </w:p>
    <w:p>
      <w:pPr>
        <w:spacing w:before="269" w:after="269"/>
        <w:ind w:left="120"/>
        <w:jc w:val="left"/>
      </w:pPr>
      <w:r>
        <w:rPr>
          <w:rFonts w:ascii="Times New Roman" w:hAnsi="Times New Roman"/>
          <w:b w:val="false"/>
          <w:i w:val="false"/>
          <w:color w:val="000000"/>
          <w:sz w:val="22"/>
        </w:rPr>
        <w:t>Auch im Hardware-Bereich sind eine regelmäßige Pflege und Aktualisierung wichtig. Als Gründe und Anlässe für die Aktualisierung, Wartung und Erneuerung von Hardware nennen die Hochschulen defekte Geräte, Fehler bei Funktionsprüfungen, herstellerseitig vorgesehene Aktualisierungs- und Wartungszyklen/ einen turnusmäßigen Austausch nach festgelegten Lebenszyklen, veraltete Geräte mit mangelhafter Software-Unterstützung sowie Anforderungen für Sicherheitsupdates.</w:t>
      </w:r>
    </w:p>
    <w:p>
      <w:pPr>
        <w:spacing w:before="269" w:after="269"/>
        <w:ind w:left="120"/>
        <w:jc w:val="left"/>
      </w:pPr>
      <w:r>
        <w:rPr>
          <w:rFonts w:ascii="Times New Roman" w:hAnsi="Times New Roman"/>
          <w:b w:val="false"/>
          <w:i w:val="false"/>
          <w:color w:val="000000"/>
          <w:sz w:val="22"/>
        </w:rPr>
        <w:t>Bezüglich der Frage, wie eine regelmäßige Pflege und Aktualisierung der Hardware sichergestellt wird, zeigen sich ähnliche Strategien und Verantwortlichkeiten, wie bei der Software:</w:t>
      </w:r>
    </w:p>
    <w:p>
      <w:pPr>
        <w:numPr>
          <w:ilvl w:val="0"/>
          <w:numId w:val="21"/>
        </w:numPr>
        <w:spacing w:before="0" w:after="0"/>
        <w:jc w:val="left"/>
      </w:pPr>
      <w:r>
        <w:rPr>
          <w:rFonts w:ascii="Times New Roman" w:hAnsi="Times New Roman"/>
          <w:b/>
          <w:i w:val="false"/>
          <w:color w:val="000000"/>
          <w:sz w:val="22"/>
        </w:rPr>
        <w:t>Regelmäßige Überprüfung und Wartung durch zentrale IT-Einheiten:</w:t>
      </w:r>
      <w:r>
        <w:br/>
      </w:r>
      <w:r>
        <w:rPr>
          <w:rFonts w:ascii="Times New Roman" w:hAnsi="Times New Roman"/>
          <w:b w:val="false"/>
          <w:i w:val="false"/>
          <w:color w:val="000000"/>
          <w:sz w:val="22"/>
        </w:rPr>
        <w:t>Die regelmäßige Pflege und Aktualisierung der Hardware erfolgen durch die Mitarbeitenden der zentralen IT-Einheiten. Dazu gehören beispielsweise das Rechenzentrum, die zentralen IT-Abteilungen, das IT-Service- bzw. Medienzentrum oder die zentrale Medientechnik. Sie übernehmen beispielsweise die Verantwortung für die Aktualität von Servern, verwaltungstechnischer Hardware, Hardware in PC-Pools, mobilen Endgeräten oder der Medientechnik in Lehr- und Lernräumen.</w:t>
      </w:r>
      <w:r>
        <w:br/>
      </w:r>
      <w:r>
        <w:rPr>
          <w:rFonts w:ascii="Times New Roman" w:hAnsi="Times New Roman"/>
          <w:b w:val="false"/>
          <w:i w:val="false"/>
          <w:color w:val="000000"/>
          <w:sz w:val="22"/>
        </w:rPr>
        <w:t>Dabei existieren festgelegte und strukturierte Prozesse zur Pflege wie Lifecycle-Management und regelmäßige Auswechslung der Hardware (z. B. alle 5 Jahre für Server und PCs bzw. alle 10 bis 12 Jahre für medientechnische Anlagen). Teilweise kommen Konfigurationsmanagement-Datenbanken zum Einsatz, mit denen die Aktualität der Hardware überwacht wird.</w:t>
      </w:r>
    </w:p>
    <w:p>
      <w:pPr>
        <w:numPr>
          <w:ilvl w:val="0"/>
          <w:numId w:val="21"/>
        </w:numPr>
        <w:spacing w:before="0" w:after="0"/>
        <w:jc w:val="left"/>
      </w:pPr>
      <w:r>
        <w:rPr>
          <w:rFonts w:ascii="Times New Roman" w:hAnsi="Times New Roman"/>
          <w:b/>
          <w:i w:val="false"/>
          <w:color w:val="000000"/>
          <w:sz w:val="22"/>
        </w:rPr>
        <w:t>Dezentrale Verantwortung und Eigenverantwortung:</w:t>
      </w:r>
      <w:r>
        <w:br/>
      </w:r>
      <w:r>
        <w:rPr>
          <w:rFonts w:ascii="Times New Roman" w:hAnsi="Times New Roman"/>
          <w:b w:val="false"/>
          <w:i w:val="false"/>
          <w:color w:val="000000"/>
          <w:sz w:val="22"/>
        </w:rPr>
        <w:t>Die Pflege und Aktualisierung der Hardware erfolgt dezentral in Eigenverantwortung der Fakultäten, Fachbereiche und Institutionen bzw. durch die zuständigen Administrationen oder Mitarbeitenden. Sie sind für die Pflege und Aktualisierung der in der Lehre eingesetzten Hardware sowie die Hardware in Laboren selbst zuständig. Die Prozesse und Verfahren folgen dabei den Vorgaben der jeweiligen Bereiche.</w:t>
      </w:r>
    </w:p>
    <w:p>
      <w:pPr>
        <w:numPr>
          <w:ilvl w:val="0"/>
          <w:numId w:val="21"/>
        </w:numPr>
        <w:spacing w:before="0" w:after="0"/>
        <w:jc w:val="left"/>
      </w:pPr>
      <w:r>
        <w:rPr>
          <w:rFonts w:ascii="Times New Roman" w:hAnsi="Times New Roman"/>
          <w:b/>
          <w:i w:val="false"/>
          <w:color w:val="000000"/>
          <w:sz w:val="22"/>
        </w:rPr>
        <w:t>Wartung und Aktualisierung durch externe Dienstleister:</w:t>
      </w:r>
      <w:r>
        <w:br/>
      </w:r>
      <w:r>
        <w:rPr>
          <w:rFonts w:ascii="Times New Roman" w:hAnsi="Times New Roman"/>
          <w:b w:val="false"/>
          <w:i w:val="false"/>
          <w:color w:val="000000"/>
          <w:sz w:val="22"/>
        </w:rPr>
        <w:t>Externe Firmen und Dienstleister übernehmen die regelmäßige Pflege und Aktualisierung der Hardware. Es bestehen Support- und Wartungsverträge.</w:t>
      </w:r>
    </w:p>
    <w:p>
      <w:pPr>
        <w:numPr>
          <w:ilvl w:val="0"/>
          <w:numId w:val="21"/>
        </w:numPr>
        <w:spacing w:before="0" w:after="0"/>
        <w:jc w:val="left"/>
      </w:pPr>
      <w:r>
        <w:rPr>
          <w:rFonts w:ascii="Times New Roman" w:hAnsi="Times New Roman"/>
          <w:b/>
          <w:i w:val="false"/>
          <w:color w:val="000000"/>
          <w:sz w:val="22"/>
        </w:rPr>
        <w:t>Feedback und Zusammenarbeit (u. a. bei assistiver Hardware):</w:t>
      </w:r>
      <w:r>
        <w:br/>
      </w:r>
      <w:r>
        <w:rPr>
          <w:rFonts w:ascii="Times New Roman" w:hAnsi="Times New Roman"/>
          <w:b w:val="false"/>
          <w:i w:val="false"/>
          <w:color w:val="000000"/>
          <w:sz w:val="22"/>
        </w:rPr>
        <w:t>Die Erneuerung von Hardware erfolgt individuell nach Bedarf, z. B. bei Defekten oder wenn die Leistung nicht mehr ausreicht. Die Aktualisierung erfolgt oft auf Basis von Feedback von Nutzenden oder aufgrund spezifischer Anforderungen, wie z. B. für barrierefreie Hardware.</w:t>
      </w:r>
      <w:r>
        <w:br/>
      </w:r>
      <w:r>
        <w:rPr>
          <w:rFonts w:ascii="Times New Roman" w:hAnsi="Times New Roman"/>
          <w:b w:val="false"/>
          <w:i w:val="false"/>
          <w:color w:val="000000"/>
          <w:sz w:val="22"/>
        </w:rPr>
        <w:t>Die Hardware aus dem Hilfsmittelpool sowie an Arbeitsplätzen für sehbeeinträchtigte und blinde Studierende wird durch die Service- und Beratungsstellen für Studierende mit Behinderung oder chronischen Erkrankungen gepflegt und aktualisiert. Sie übernehmen den Austausch veralteter oder defekter Hardware selbst oder initiieren diese bei anderen IT-Einheiten. Auch hier erfolgt eine Aktualisierung anlassbezogen auf Anfrage der Nutzenden und unter Berücksichtigung individueller Barrierefreiheitsanforderungen. Zusätzlich findet ein Austausch in Netzwerken, Arbeitskreisen und IT-Gremien statt.</w:t>
      </w:r>
    </w:p>
    <w:p>
      <w:pPr>
        <w:numPr>
          <w:ilvl w:val="0"/>
          <w:numId w:val="21"/>
        </w:numPr>
        <w:spacing w:before="0" w:after="0"/>
        <w:jc w:val="left"/>
      </w:pPr>
      <w:r>
        <w:rPr>
          <w:rFonts w:ascii="Times New Roman" w:hAnsi="Times New Roman"/>
          <w:b/>
          <w:i w:val="false"/>
          <w:color w:val="000000"/>
          <w:sz w:val="22"/>
        </w:rPr>
        <w:t>Fehlende/unklare Regelungen:</w:t>
      </w:r>
      <w:r>
        <w:br/>
      </w:r>
      <w:r>
        <w:rPr>
          <w:rFonts w:ascii="Times New Roman" w:hAnsi="Times New Roman"/>
          <w:b w:val="false"/>
          <w:i w:val="false"/>
          <w:color w:val="000000"/>
          <w:sz w:val="22"/>
        </w:rPr>
        <w:t>Es gibt keine oder nur unklare Reglungen für die Aktualisierung der Hardware.</w:t>
      </w:r>
    </w:p>
    <w:bookmarkStart w:name="04209210c8dda39cc7f14ddc7f2608fe" w:id="40"/>
    <w:p>
      <w:pPr>
        <w:pStyle w:val="Heading4"/>
        <w:spacing w:before="360" w:after="360"/>
        <w:ind w:left="120"/>
        <w:jc w:val="left"/>
      </w:pPr>
      <w:r>
        <w:rPr>
          <w:rFonts w:ascii="Times New Roman" w:hAnsi="Times New Roman"/>
          <w:i w:val="false"/>
          <w:color w:val="000000"/>
          <w:sz w:val="18"/>
        </w:rPr>
        <w:t>Berücksichtigung digitaler Barrierefreiheit bei Beschaffungen</w:t>
      </w:r>
    </w:p>
    <w:bookmarkEnd w:id="40"/>
    <w:p>
      <w:pPr>
        <w:spacing w:before="269" w:after="269"/>
        <w:ind w:left="120"/>
        <w:jc w:val="left"/>
      </w:pPr>
      <w:r>
        <w:rPr>
          <w:rFonts w:ascii="Times New Roman" w:hAnsi="Times New Roman"/>
          <w:b w:val="false"/>
          <w:i w:val="false"/>
          <w:color w:val="000000"/>
          <w:sz w:val="22"/>
        </w:rPr>
        <w:t>Der Anteil der Hochschulen, die die Barrierefreiheit in Beschaffungsprozessen berücksichtigen, unterscheidet sich je nach Beschaffungsgegenstand.</w:t>
      </w:r>
    </w:p>
    <w:p>
      <w:pPr>
        <w:spacing w:before="269" w:after="269"/>
        <w:ind w:left="120"/>
        <w:jc w:val="left"/>
      </w:pPr>
      <w:r>
        <w:rPr>
          <w:rFonts w:ascii="Times New Roman" w:hAnsi="Times New Roman"/>
          <w:b w:val="false"/>
          <w:i w:val="false"/>
          <w:color w:val="000000"/>
          <w:sz w:val="22"/>
        </w:rPr>
        <w:t>Bei der Beschaffung neuer Softwarelizenzen geben 53 Hochschulen (55 %) an, digitale Barrierefreiheit zu berücksichtigen, während 43 Hochschulen (45 %) dies nicht tun.</w:t>
      </w:r>
    </w:p>
    <w:p>
      <w:pPr>
        <w:spacing w:before="0" w:after="0"/>
        <w:ind w:left="120"/>
        <w:jc w:val="left"/>
      </w:pPr>
      <w:r>
        <w:drawing>
          <wp:inline distT="0" distB="0" distL="0" distR="0">
            <wp:extent cx="4476750" cy="3667125"/>
            <wp:effectExtent l="0" t="0" r="0" b="0"/>
            <wp:docPr id="19" name="" descr="Kreisdiagramm: 53 Ja (55 %) und 43 Nein (45 %)"/>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76750" cy="3667125"/>
                    </a:xfrm>
                    <a:prstGeom prst="rect">
                      <a:avLst/>
                    </a:prstGeom>
                  </pic:spPr>
                </pic:pic>
              </a:graphicData>
            </a:graphic>
          </wp:inline>
        </w:drawing>
      </w:r>
    </w:p>
    <w:p>
      <w:pPr>
        <w:pStyle w:val="Caption"/>
        <w:spacing w:before="0" w:after="0"/>
        <w:ind w:left="120"/>
        <w:jc w:val="left"/>
      </w:pPr>
      <w:r>
        <w:t xml:space="preserve">Figure </w:t>
      </w:r>
      <w:fldSimple w:instr=" SEQ Figure  \* ARABIC ">
        <w:r>
          <w:t>18</w:t>
        </w:r>
      </w:fldSimple>
      <w:r>
        <w:rPr>
          <w:rFonts w:ascii="Times New Roman" w:hAnsi="Times New Roman"/>
        </w:rPr>
        <w:t>Abbildung 18: Wird im Beschaffungsprozess für neue Softwarelizenzen digitale Barrierefreiheit berücksichtigt?</w:t>
      </w:r>
    </w:p>
    <w:p>
      <w:pPr>
        <w:spacing w:before="269" w:after="269"/>
        <w:ind w:left="120"/>
        <w:jc w:val="left"/>
      </w:pPr>
      <w:r>
        <w:rPr>
          <w:rFonts w:ascii="Times New Roman" w:hAnsi="Times New Roman"/>
          <w:b w:val="false"/>
          <w:i w:val="false"/>
          <w:color w:val="000000"/>
          <w:sz w:val="22"/>
        </w:rPr>
        <w:t>Im Beschaffungsprozess für neue Hardware ist der Anteil jener Hochschulen, die digitale Barrierefreiheit berücksichtigen, im Vergleich zur Beschaffung von Softwarelizenzen noch geringer. So geben 37 Hochschulen (39 %) an, die Barrierefreiheit bei der Beschaffung von Hardware zu berücksichtigen, während 59 Hochschulen (61 %) dies nicht tun.</w:t>
      </w:r>
    </w:p>
    <w:p>
      <w:pPr>
        <w:spacing w:before="0" w:after="0"/>
        <w:ind w:left="120"/>
        <w:jc w:val="left"/>
      </w:pPr>
      <w:r>
        <w:drawing>
          <wp:inline distT="0" distB="0" distL="0" distR="0">
            <wp:extent cx="4476750" cy="3714750"/>
            <wp:effectExtent l="0" t="0" r="0" b="0"/>
            <wp:docPr id="20" name="" descr="Kreisdiagramm: 37 Ja (39 %) und 59 Nein (61 %)"/>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76750" cy="3714750"/>
                    </a:xfrm>
                    <a:prstGeom prst="rect">
                      <a:avLst/>
                    </a:prstGeom>
                  </pic:spPr>
                </pic:pic>
              </a:graphicData>
            </a:graphic>
          </wp:inline>
        </w:drawing>
      </w:r>
    </w:p>
    <w:p>
      <w:pPr>
        <w:pStyle w:val="Caption"/>
        <w:spacing w:before="0" w:after="0"/>
        <w:ind w:left="120"/>
        <w:jc w:val="left"/>
      </w:pPr>
      <w:r>
        <w:t xml:space="preserve">Figure </w:t>
      </w:r>
      <w:fldSimple w:instr=" SEQ Figure  \* ARABIC ">
        <w:r>
          <w:t>19</w:t>
        </w:r>
      </w:fldSimple>
      <w:r>
        <w:rPr>
          <w:rFonts w:ascii="Times New Roman" w:hAnsi="Times New Roman"/>
        </w:rPr>
        <w:t>Abbildung 19: Wird im Beschaffungsprozess für neue Hardware digitale Barrierefreiheit berücksichtigt?</w:t>
      </w:r>
    </w:p>
    <w:p>
      <w:pPr>
        <w:spacing w:before="269" w:after="269"/>
        <w:ind w:left="120"/>
        <w:jc w:val="left"/>
      </w:pPr>
      <w:r>
        <w:rPr>
          <w:rFonts w:ascii="Times New Roman" w:hAnsi="Times New Roman"/>
          <w:b w:val="false"/>
          <w:i w:val="false"/>
          <w:color w:val="000000"/>
          <w:sz w:val="22"/>
        </w:rPr>
        <w:t>Vergleicht man die Angaben der Hochschulen zur Beschaffung neuer Softwarelizenzen und neuer Hardware, so zeigt sich folgendes Bild: lediglich 34 Hochschulen (35 %) berücksichtigen die digitale Barrierefreiheit sowohl bei der Software- als auch bei der Hardware-Beschaffung.</w:t>
      </w:r>
    </w:p>
    <w:p>
      <w:pPr>
        <w:spacing w:before="269" w:after="269"/>
        <w:ind w:left="120"/>
        <w:jc w:val="left"/>
      </w:pPr>
      <w:r>
        <w:rPr>
          <w:rFonts w:ascii="Times New Roman" w:hAnsi="Times New Roman"/>
          <w:b w:val="false"/>
          <w:i w:val="false"/>
          <w:color w:val="000000"/>
          <w:sz w:val="22"/>
        </w:rPr>
        <w:t>22 Hochschulen (23 %) berücksichtigen digitale Barrierefreiheit nur in einem der beiden Felder – davon 19 Hochschulen (20 %) bei der Beschaffung neuer Softwarelizenzen und 3 Hochschulen (3 %) bei der Beschaffung neuer Hardware.</w:t>
      </w:r>
    </w:p>
    <w:p>
      <w:pPr>
        <w:spacing w:before="269" w:after="269"/>
        <w:ind w:left="120"/>
        <w:jc w:val="left"/>
      </w:pPr>
      <w:r>
        <w:rPr>
          <w:rFonts w:ascii="Times New Roman" w:hAnsi="Times New Roman"/>
          <w:b w:val="false"/>
          <w:i w:val="false"/>
          <w:color w:val="000000"/>
          <w:sz w:val="22"/>
        </w:rPr>
        <w:t>Dem gegenüber stehen 40 Hochschulen, die die digitale Barrierefreiheit weder im Beschaffungsprozess für neue Software noch für neue Hardware berücksichtigen.</w:t>
      </w:r>
    </w:p>
    <w:p>
      <w:pPr>
        <w:spacing w:before="0" w:after="0"/>
        <w:ind w:left="120"/>
        <w:jc w:val="left"/>
      </w:pPr>
      <w:r>
        <w:drawing>
          <wp:inline distT="0" distB="0" distL="0" distR="0">
            <wp:extent cx="4476750" cy="3676650"/>
            <wp:effectExtent l="0" t="0" r="0" b="0"/>
            <wp:docPr id="21" name="" descr="Kreisdiagramm: 40 Weder Software noch Hardware (42 %), 22 Entweder Software oder Hardware (23 %) und 34 Sowohl Software als auch Hardware (35 %)"/>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76750" cy="3676650"/>
                    </a:xfrm>
                    <a:prstGeom prst="rect">
                      <a:avLst/>
                    </a:prstGeom>
                  </pic:spPr>
                </pic:pic>
              </a:graphicData>
            </a:graphic>
          </wp:inline>
        </w:drawing>
      </w:r>
    </w:p>
    <w:p>
      <w:pPr>
        <w:pStyle w:val="Caption"/>
        <w:spacing w:before="0" w:after="0"/>
        <w:ind w:left="120"/>
        <w:jc w:val="left"/>
      </w:pPr>
      <w:r>
        <w:t xml:space="preserve">Figure </w:t>
      </w:r>
      <w:fldSimple w:instr=" SEQ Figure  \* ARABIC ">
        <w:r>
          <w:t>20</w:t>
        </w:r>
      </w:fldSimple>
      <w:r>
        <w:rPr>
          <w:rFonts w:ascii="Times New Roman" w:hAnsi="Times New Roman"/>
        </w:rPr>
        <w:t>Abbildung 20: Wird im Beschaffungsprozess für neue Software oder Hardware digitale Barrierefreiheit berücksichtigt?</w:t>
      </w:r>
    </w:p>
    <w:bookmarkStart w:name="1c3f3bca5e8ec314fb1b9fce5bc757c8" w:id="41"/>
    <w:p>
      <w:pPr>
        <w:pStyle w:val="Heading4"/>
        <w:spacing w:before="360" w:after="360"/>
        <w:ind w:left="120"/>
        <w:jc w:val="left"/>
      </w:pPr>
      <w:r>
        <w:rPr>
          <w:rFonts w:ascii="Times New Roman" w:hAnsi="Times New Roman"/>
          <w:i w:val="false"/>
          <w:color w:val="000000"/>
          <w:sz w:val="18"/>
        </w:rPr>
        <w:t>Einführung hochschulweiter IT-Systeme</w:t>
      </w:r>
    </w:p>
    <w:bookmarkEnd w:id="41"/>
    <w:p>
      <w:pPr>
        <w:spacing w:before="269" w:after="269"/>
        <w:ind w:left="120"/>
        <w:jc w:val="left"/>
      </w:pPr>
      <w:r>
        <w:rPr>
          <w:rFonts w:ascii="Times New Roman" w:hAnsi="Times New Roman"/>
          <w:b w:val="false"/>
          <w:i w:val="false"/>
          <w:color w:val="000000"/>
          <w:sz w:val="22"/>
        </w:rPr>
        <w:t>Bei der Einführung hochschulweiter IT-Systeme geben 46 Hochschulen (48 %) an, digitale Barrierefreiheit zum Teil zu berücksichtigen, während 29 Hochschulen (30 %) dies gänzlich bejahen und 8 Hochschulen (8 %) gänzlich verneinen. Die übrigen 13 Hochschulen (14 %) konnten die Frage nicht beantworten und haben daher „Weiß nicht" angegeben.</w:t>
      </w:r>
    </w:p>
    <w:p>
      <w:pPr>
        <w:spacing w:before="0" w:after="0"/>
        <w:ind w:left="120"/>
        <w:jc w:val="left"/>
      </w:pPr>
      <w:r>
        <w:drawing>
          <wp:inline distT="0" distB="0" distL="0" distR="0">
            <wp:extent cx="4476750" cy="4467225"/>
            <wp:effectExtent l="0" t="0" r="0" b="0"/>
            <wp:docPr id="22" name="" descr="Kreisdiagramm: 29 Ja (30 %), 46 zum Teil (48 %), 8 Nein (8 %) und 13 Weiß nicht (14 %)"/>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76750" cy="4467225"/>
                    </a:xfrm>
                    <a:prstGeom prst="rect">
                      <a:avLst/>
                    </a:prstGeom>
                  </pic:spPr>
                </pic:pic>
              </a:graphicData>
            </a:graphic>
          </wp:inline>
        </w:drawing>
      </w:r>
    </w:p>
    <w:p>
      <w:pPr>
        <w:pStyle w:val="Caption"/>
        <w:spacing w:before="0" w:after="0"/>
        <w:ind w:left="120"/>
        <w:jc w:val="left"/>
      </w:pPr>
      <w:r>
        <w:t xml:space="preserve">Figure </w:t>
      </w:r>
      <w:fldSimple w:instr=" SEQ Figure  \* ARABIC ">
        <w:r>
          <w:t>21</w:t>
        </w:r>
      </w:fldSimple>
      <w:r>
        <w:rPr>
          <w:rFonts w:ascii="Times New Roman" w:hAnsi="Times New Roman"/>
        </w:rPr>
        <w:t>Abbildung 21: Wird bei der Einführung hochschulweiter IT-Systeme digitale Barrierefreiheit berücksichtigt?</w:t>
      </w:r>
    </w:p>
    <w:bookmarkStart w:name="88194925719a1e39ecebce6457e1a8b4" w:id="42"/>
    <w:p>
      <w:pPr>
        <w:pStyle w:val="Heading4"/>
        <w:spacing w:before="360" w:after="360"/>
        <w:ind w:left="120"/>
        <w:jc w:val="left"/>
      </w:pPr>
      <w:r>
        <w:rPr>
          <w:rFonts w:ascii="Times New Roman" w:hAnsi="Times New Roman"/>
          <w:i w:val="false"/>
          <w:color w:val="000000"/>
          <w:sz w:val="18"/>
        </w:rPr>
        <w:t>Schwerbehindertenvertretung</w:t>
      </w:r>
    </w:p>
    <w:bookmarkEnd w:id="42"/>
    <w:p>
      <w:pPr>
        <w:spacing w:before="269" w:after="269"/>
        <w:ind w:left="120"/>
        <w:jc w:val="left"/>
      </w:pPr>
      <w:r>
        <w:rPr>
          <w:rFonts w:ascii="Times New Roman" w:hAnsi="Times New Roman"/>
          <w:b w:val="false"/>
          <w:i w:val="false"/>
          <w:color w:val="000000"/>
          <w:sz w:val="22"/>
        </w:rPr>
        <w:t>An 89 der an der Umfrage beteiligten Hochschulen (93 %) gibt es eine Schwerbehindertenvertretung. Lediglich 7 Hochschulen (7 %) haben keine Schwerbehindertenvertretung.</w:t>
      </w:r>
    </w:p>
    <w:p>
      <w:pPr>
        <w:spacing w:before="0" w:after="0"/>
        <w:ind w:left="120"/>
        <w:jc w:val="left"/>
      </w:pPr>
      <w:r>
        <w:drawing>
          <wp:inline distT="0" distB="0" distL="0" distR="0">
            <wp:extent cx="4476750" cy="4476750"/>
            <wp:effectExtent l="0" t="0" r="0" b="0"/>
            <wp:docPr id="23" name="" descr="Kreisdiagramm: 89 Ja (93 %) und 7 Nein (7 %)"/>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76750" cy="4476750"/>
                    </a:xfrm>
                    <a:prstGeom prst="rect">
                      <a:avLst/>
                    </a:prstGeom>
                  </pic:spPr>
                </pic:pic>
              </a:graphicData>
            </a:graphic>
          </wp:inline>
        </w:drawing>
      </w:r>
    </w:p>
    <w:p>
      <w:pPr>
        <w:pStyle w:val="Caption"/>
        <w:spacing w:before="0" w:after="0"/>
        <w:ind w:left="120"/>
        <w:jc w:val="left"/>
      </w:pPr>
      <w:r>
        <w:t xml:space="preserve">Figure </w:t>
      </w:r>
      <w:fldSimple w:instr=" SEQ Figure  \* ARABIC ">
        <w:r>
          <w:t>22</w:t>
        </w:r>
      </w:fldSimple>
      <w:r>
        <w:rPr>
          <w:rFonts w:ascii="Times New Roman" w:hAnsi="Times New Roman"/>
        </w:rPr>
        <w:t>Abbildung 22: Gibt es an Ihrer Hochschule eine Schwerbehindertenvertretung?</w:t>
      </w:r>
    </w:p>
    <w:p>
      <w:pPr>
        <w:spacing w:before="269" w:after="269"/>
        <w:ind w:left="120"/>
        <w:jc w:val="left"/>
      </w:pPr>
      <w:r>
        <w:rPr>
          <w:rFonts w:ascii="Times New Roman" w:hAnsi="Times New Roman"/>
          <w:b w:val="false"/>
          <w:i w:val="false"/>
          <w:color w:val="000000"/>
          <w:sz w:val="22"/>
        </w:rPr>
        <w:t xml:space="preserve">Die Schwerbehindertenvertretung an Hochschulen stellt nach Sozialgesetzbuch </w:t>
      </w:r>
      <w:hyperlink r:id="rId44">
        <w:r>
          <w:rPr>
            <w:rFonts w:ascii="Times New Roman" w:hAnsi="Times New Roman"/>
            <w:b w:val="false"/>
            <w:i w:val="false"/>
            <w:color w:val="0000ff"/>
            <w:sz w:val="22"/>
            <w:u w:val="single"/>
          </w:rPr>
          <w:t>SGB IX</w:t>
        </w:r>
      </w:hyperlink>
      <w:r>
        <w:rPr>
          <w:rFonts w:ascii="Times New Roman" w:hAnsi="Times New Roman"/>
          <w:b w:val="false"/>
          <w:i w:val="false"/>
          <w:color w:val="000000"/>
          <w:sz w:val="22"/>
        </w:rPr>
        <w:t xml:space="preserve"> die gesetzliche Vertretung der Mitarbeitenden mit Schwerbehinderung sowie ihnen gleichgestellter Personen dar. Sie fördert die Eingliederung und Integration schwerbehinderter Menschen in die Dienststelle, vertritt ihre Interessen gegenüber dem Arbeitgeber, überwacht die Einhaltung von Rechten und steht den schwerbehinderten Beschäftigten beratend und unterstützend zur Seite.</w:t>
      </w:r>
      <w:r>
        <w:br/>
      </w:r>
      <w:r>
        <w:rPr>
          <w:rFonts w:ascii="Times New Roman" w:hAnsi="Times New Roman"/>
          <w:b w:val="false"/>
          <w:i w:val="false"/>
          <w:color w:val="000000"/>
          <w:sz w:val="22"/>
        </w:rPr>
        <w:t>Damit unterscheidet sich das Aufgabengebiet und die Zielgruppe der Schwerbehindertenvertretung von anderen Ämtern, wie den Beauftragten für Studierende mit Behinderung und chronischen Erkrankungen bzw. den Beauftragten für Diversität und Inklusion.</w:t>
      </w:r>
    </w:p>
    <w:p>
      <w:pPr>
        <w:spacing w:before="269" w:after="269"/>
        <w:ind w:left="120"/>
        <w:jc w:val="left"/>
      </w:pPr>
      <w:r>
        <w:rPr>
          <w:rFonts w:ascii="Times New Roman" w:hAnsi="Times New Roman"/>
          <w:b w:val="false"/>
          <w:i w:val="false"/>
          <w:color w:val="000000"/>
          <w:sz w:val="22"/>
        </w:rPr>
        <w:t>Wenn es um die Prozesse der digitalen Barrierefreiheit geht, wird die Schwerbehindertenvertretung nur an 59 der 89 Hochschulen (66 %) beteiligt und angehört. Die übrigen 30 Hochschulen (34 %) beziehen die Schwerbehindertenvertretung in diese Angelegenheiten nicht ein.</w:t>
      </w:r>
    </w:p>
    <w:p>
      <w:pPr>
        <w:spacing w:before="0" w:after="0"/>
        <w:ind w:left="120"/>
        <w:jc w:val="left"/>
      </w:pPr>
      <w:r>
        <w:drawing>
          <wp:inline distT="0" distB="0" distL="0" distR="0">
            <wp:extent cx="4476750" cy="3438525"/>
            <wp:effectExtent l="0" t="0" r="0" b="0"/>
            <wp:docPr id="24" name="" descr="Kreisdiagramm: 59 Ja (66 %) und 30 Nein (34 %)"/>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476750" cy="3438525"/>
                    </a:xfrm>
                    <a:prstGeom prst="rect">
                      <a:avLst/>
                    </a:prstGeom>
                  </pic:spPr>
                </pic:pic>
              </a:graphicData>
            </a:graphic>
          </wp:inline>
        </w:drawing>
      </w:r>
    </w:p>
    <w:p>
      <w:pPr>
        <w:pStyle w:val="Caption"/>
        <w:spacing w:before="0" w:after="0"/>
        <w:ind w:left="120"/>
        <w:jc w:val="left"/>
      </w:pPr>
      <w:r>
        <w:t xml:space="preserve">Figure </w:t>
      </w:r>
      <w:fldSimple w:instr=" SEQ Figure  \* ARABIC ">
        <w:r>
          <w:t>23</w:t>
        </w:r>
      </w:fldSimple>
      <w:r>
        <w:rPr>
          <w:rFonts w:ascii="Times New Roman" w:hAnsi="Times New Roman"/>
        </w:rPr>
        <w:t>Abbildung 23: Wird die Schwerbehindertenvertretung an den Prozessen beteiligt und angehört?</w:t>
      </w:r>
    </w:p>
    <w:p>
      <w:pPr>
        <w:spacing w:before="269" w:after="269"/>
        <w:ind w:left="120"/>
        <w:jc w:val="left"/>
      </w:pPr>
      <w:r>
        <w:rPr>
          <w:rFonts w:ascii="Times New Roman" w:hAnsi="Times New Roman"/>
          <w:b w:val="false"/>
          <w:i w:val="false"/>
          <w:color w:val="000000"/>
          <w:sz w:val="22"/>
        </w:rPr>
        <w:t>Dazu sei angemerkt, dass nicht zwingend die Schwerbehindertenvertretung diejenige Stelle an der Hochschule sein muss, die auch für das Thema digitale Barrierefreiheit zuständig ist. Jedoch stellt sich die Frage, ob es an jenen Hochschulen, die die Schwerbehindertenvertretung nicht in die Prozesse</w:t>
      </w:r>
      <w:r>
        <w:br/>
      </w:r>
      <w:r>
        <w:rPr>
          <w:rFonts w:ascii="Times New Roman" w:hAnsi="Times New Roman"/>
          <w:b w:val="false"/>
          <w:i w:val="false"/>
          <w:color w:val="000000"/>
          <w:sz w:val="22"/>
        </w:rPr>
        <w:t>zur digitalen Barrierefreiheit einbeziehen, andere Organisationsstrukturen gibt, die sich mit dieser Thematik beschäftigen. Ein Querbezug zu der Frage nach Gremien, Institutionen und strukturellen Organisationen an der Hochschule, die das Thema digitale Barrierefreiheit regelmäßig bearbeiten, zeigt, dass dies in der Mehrzahl der Fälle nicht gegeben ist.</w:t>
      </w:r>
      <w:r>
        <w:br/>
      </w:r>
      <w:r>
        <w:rPr>
          <w:rFonts w:ascii="Times New Roman" w:hAnsi="Times New Roman"/>
          <w:b w:val="false"/>
          <w:i w:val="false"/>
          <w:color w:val="000000"/>
          <w:sz w:val="22"/>
        </w:rPr>
        <w:t>Von den 30 Hochschulen, die die Schwerbehindertenvertretung nicht in die Prozesse der digitalen Barrierefreiheit einbeziehen, haben 18 Hochschulen (60 %) keine anderen Gremien, Institutionen und strukturellen Organisationen, die das Thema digitale Barrierefreiheit regelmäßig bearbeiten.</w:t>
      </w:r>
    </w:p>
    <w:bookmarkStart w:name="f7e430f01ccce65147636f408fdfd0d3" w:id="43"/>
    <w:p>
      <w:pPr>
        <w:pStyle w:val="Heading4"/>
        <w:spacing w:before="360" w:after="360"/>
        <w:ind w:left="120"/>
        <w:jc w:val="left"/>
      </w:pPr>
      <w:r>
        <w:rPr>
          <w:rFonts w:ascii="Times New Roman" w:hAnsi="Times New Roman"/>
          <w:i w:val="false"/>
          <w:color w:val="000000"/>
          <w:sz w:val="18"/>
        </w:rPr>
        <w:t>Weitere Informationen</w:t>
      </w:r>
    </w:p>
    <w:bookmarkEnd w:id="43"/>
    <w:p>
      <w:pPr>
        <w:spacing w:before="269" w:after="269"/>
        <w:ind w:left="120"/>
        <w:jc w:val="left"/>
      </w:pPr>
      <w:r>
        <w:rPr>
          <w:rFonts w:ascii="Times New Roman" w:hAnsi="Times New Roman"/>
          <w:b w:val="false"/>
          <w:i w:val="false"/>
          <w:color w:val="000000"/>
          <w:sz w:val="22"/>
        </w:rPr>
        <w:t>Die Umfrage schließt mit einer offenen Frage. Darin erhalten die Hochschulen die Gelegenheit, ihr Profil bezüglich digitaler Barrierefreiheit durch weitere Informationen zu ergänzen. Insgesamt haben 42 Hochschulen diese Möglichkeit genutzt, um weitere Angaben zu machen, während 54 Hochschulen keine weiteren Ergänzungen hatten.</w:t>
      </w:r>
    </w:p>
    <w:p>
      <w:pPr>
        <w:spacing w:before="269" w:after="269"/>
        <w:ind w:left="120"/>
        <w:jc w:val="left"/>
      </w:pPr>
      <w:r>
        <w:rPr>
          <w:rFonts w:ascii="Times New Roman" w:hAnsi="Times New Roman"/>
          <w:b w:val="false"/>
          <w:i w:val="false"/>
          <w:color w:val="000000"/>
          <w:sz w:val="22"/>
        </w:rPr>
        <w:t>Die inhaltliche Auswertung zeigt, dass die Hochschulen diese offene Frage einerseits nutzen, um auf weitere besondere Strukturen und Maßnahmen zur Förderung der digitalen Barrierefreiheit hinzuweisen. Andererseits wird jedoch auch Kritik an bestehenden Strukturen und Rahmenbedingungen geäußert:</w:t>
      </w:r>
    </w:p>
    <w:p>
      <w:pPr>
        <w:numPr>
          <w:ilvl w:val="0"/>
          <w:numId w:val="22"/>
        </w:numPr>
        <w:spacing w:before="0" w:after="0"/>
        <w:jc w:val="left"/>
      </w:pPr>
      <w:r>
        <w:rPr>
          <w:rFonts w:ascii="Times New Roman" w:hAnsi="Times New Roman"/>
          <w:b/>
          <w:i w:val="false"/>
          <w:color w:val="000000"/>
          <w:sz w:val="22"/>
        </w:rPr>
        <w:t>Verantwortlichkeiten und Zuständigkeiten (18):</w:t>
      </w:r>
      <w:r>
        <w:rPr>
          <w:rFonts w:ascii="Times New Roman" w:hAnsi="Times New Roman"/>
          <w:b w:val="false"/>
          <w:i w:val="false"/>
          <w:color w:val="000000"/>
          <w:sz w:val="22"/>
        </w:rPr>
        <w:t xml:space="preserve"> Es werden Personen, Ämter und Einrichtungen genannt, die für die digitale Barrierefreiheit zuständig sind. Dazu gehören Interessenvertretungen wie die Schwerbehindertenvertretung der Mitarbeitenden oder die Beauftragten für Studierende mit Beeinträchtigung, aber auch Kompetenzzentren und Servicestellen sowie hochschulinterne Arbeitskreise. Die strukturelle Verankerung, Zusammenarbeit und Beteiligung der zuständigen Stellen variiert je nach Hochschule und ist teilweise noch ausbaufähig.</w:t>
      </w:r>
    </w:p>
    <w:p>
      <w:pPr>
        <w:numPr>
          <w:ilvl w:val="0"/>
          <w:numId w:val="22"/>
        </w:numPr>
        <w:spacing w:before="0" w:after="0"/>
        <w:jc w:val="left"/>
      </w:pPr>
      <w:r>
        <w:rPr>
          <w:rFonts w:ascii="Times New Roman" w:hAnsi="Times New Roman"/>
          <w:b/>
          <w:i w:val="false"/>
          <w:color w:val="000000"/>
          <w:sz w:val="22"/>
        </w:rPr>
        <w:t>Bildung und Forschung (12):</w:t>
      </w:r>
      <w:r>
        <w:rPr>
          <w:rFonts w:ascii="Times New Roman" w:hAnsi="Times New Roman"/>
          <w:b w:val="false"/>
          <w:i w:val="false"/>
          <w:color w:val="000000"/>
          <w:sz w:val="22"/>
        </w:rPr>
        <w:t xml:space="preserve"> Digitale Barrierefreiheit ist Teil der Forschung und Lehre. Es gibt Forschungsinitiativen, Projekte, Lehrveranstaltungen oder auch Abschlussarbeiten, die sich spezifisch mit digitaler Barrierefreiheit beschäftigen. Relevante Themen sind dabei z. B. digitale Teilhabe, assistive Systeme, barrierefreie Kommunikation, barrierefreie Dokumente oder barrierefreie Lehrvideos.</w:t>
      </w:r>
    </w:p>
    <w:p>
      <w:pPr>
        <w:numPr>
          <w:ilvl w:val="0"/>
          <w:numId w:val="22"/>
        </w:numPr>
        <w:spacing w:before="0" w:after="0"/>
        <w:jc w:val="left"/>
      </w:pPr>
      <w:r>
        <w:rPr>
          <w:rFonts w:ascii="Times New Roman" w:hAnsi="Times New Roman"/>
          <w:b/>
          <w:i w:val="false"/>
          <w:color w:val="000000"/>
          <w:sz w:val="22"/>
        </w:rPr>
        <w:t>Beratung und Unterstützung (8):</w:t>
      </w:r>
      <w:r>
        <w:rPr>
          <w:rFonts w:ascii="Times New Roman" w:hAnsi="Times New Roman"/>
          <w:b w:val="false"/>
          <w:i w:val="false"/>
          <w:color w:val="000000"/>
          <w:sz w:val="22"/>
        </w:rPr>
        <w:t xml:space="preserve"> Es werden Informations-, Beratungs- und Unterstützungsangebote für Studierende und Mitarbeitende genannt. Einige dieser Angebote richten sich direkt an betroffene Studierende oder Mitarbeitende mit Behinderung. Andere konzentrieren sich auf Sensibilisierung und Umsetzung digitaler Barrierefreiheit, z. B. in den Web-Redaktionen, in der Lehre oder bei der Erstellung barrierefreier Dokumente.</w:t>
      </w:r>
    </w:p>
    <w:p>
      <w:pPr>
        <w:numPr>
          <w:ilvl w:val="0"/>
          <w:numId w:val="22"/>
        </w:numPr>
        <w:spacing w:before="0" w:after="0"/>
        <w:jc w:val="left"/>
      </w:pPr>
      <w:r>
        <w:rPr>
          <w:rFonts w:ascii="Times New Roman" w:hAnsi="Times New Roman"/>
          <w:b/>
          <w:i w:val="false"/>
          <w:color w:val="000000"/>
          <w:sz w:val="22"/>
        </w:rPr>
        <w:t>Strategien und Aktionspläne (6):</w:t>
      </w:r>
      <w:r>
        <w:rPr>
          <w:rFonts w:ascii="Times New Roman" w:hAnsi="Times New Roman"/>
          <w:b w:val="false"/>
          <w:i w:val="false"/>
          <w:color w:val="000000"/>
          <w:sz w:val="22"/>
        </w:rPr>
        <w:t xml:space="preserve"> Inklusion und Barrierefreiheit sind in der strategischen Ausrichtung der Hochschule verankert (z. B. als Teil von Digitalisierungsstrategien). Ergänzend dazu werden Aktionspläne erarbeitet oder sind in Planung. Die Umsetzung variiert je nach Hochschule.</w:t>
      </w:r>
    </w:p>
    <w:p>
      <w:pPr>
        <w:numPr>
          <w:ilvl w:val="0"/>
          <w:numId w:val="22"/>
        </w:numPr>
        <w:spacing w:before="0" w:after="0"/>
        <w:jc w:val="left"/>
      </w:pPr>
      <w:r>
        <w:rPr>
          <w:rFonts w:ascii="Times New Roman" w:hAnsi="Times New Roman"/>
          <w:b/>
          <w:i w:val="false"/>
          <w:color w:val="000000"/>
          <w:sz w:val="22"/>
        </w:rPr>
        <w:t>Politische und gesetzliche Rahmenbedingungen (6):</w:t>
      </w:r>
      <w:r>
        <w:rPr>
          <w:rFonts w:ascii="Times New Roman" w:hAnsi="Times New Roman"/>
          <w:b w:val="false"/>
          <w:i w:val="false"/>
          <w:color w:val="000000"/>
          <w:sz w:val="22"/>
        </w:rPr>
        <w:t xml:space="preserve"> Die politischen und gesetzlichen Rahmenbedingungen sind zur effektiven Umsetzung digitaler Barrierefreiheit nicht ausreichend. Es wird kritisiert, dass es an verbindlichen Vorgaben, effektiven Kontrollen und Sanktionsmechanismen fehle. Vorschläge zur Verbesserung betreffen beispielsweise die Stärkung der Position der Beauftragten für Studierende mit Beeinträchtigung im Hochschulgesetz oder die Einführung positiver Anreize für Hochschulen, z. B. bei der Mittelzuweisung (als Positivbeispiel wird z. B. die Zuweisung „Inklusion an Hochschulen" im Freistaat Sachsen erwähnt).</w:t>
      </w:r>
    </w:p>
    <w:p>
      <w:pPr>
        <w:numPr>
          <w:ilvl w:val="0"/>
          <w:numId w:val="22"/>
        </w:numPr>
        <w:spacing w:before="0" w:after="0"/>
        <w:jc w:val="left"/>
      </w:pPr>
      <w:r>
        <w:rPr>
          <w:rFonts w:ascii="Times New Roman" w:hAnsi="Times New Roman"/>
          <w:b/>
          <w:i w:val="false"/>
          <w:color w:val="000000"/>
          <w:sz w:val="22"/>
        </w:rPr>
        <w:t>Mangel an Personal und Ressourcen (4):</w:t>
      </w:r>
      <w:r>
        <w:rPr>
          <w:rFonts w:ascii="Times New Roman" w:hAnsi="Times New Roman"/>
          <w:b w:val="false"/>
          <w:i w:val="false"/>
          <w:color w:val="000000"/>
          <w:sz w:val="22"/>
        </w:rPr>
        <w:t xml:space="preserve"> Das Fehlen von Barrierefreiheitsbeauftragten, zentralen Beratungsstellen und ausreichendem Personal behindert die dauerhafte und strukturelle Umsetzung von digitalen Barrierefreiheitsmaßnahmen.</w:t>
      </w:r>
    </w:p>
    <w:p>
      <w:pPr>
        <w:numPr>
          <w:ilvl w:val="0"/>
          <w:numId w:val="22"/>
        </w:numPr>
        <w:spacing w:before="0" w:after="0"/>
        <w:jc w:val="left"/>
      </w:pPr>
      <w:r>
        <w:rPr>
          <w:rFonts w:ascii="Times New Roman" w:hAnsi="Times New Roman"/>
          <w:b/>
          <w:i w:val="false"/>
          <w:color w:val="000000"/>
          <w:sz w:val="22"/>
        </w:rPr>
        <w:t>Hochschulübergreifende Kooperationen und Netzwerke (4):</w:t>
      </w:r>
      <w:r>
        <w:rPr>
          <w:rFonts w:ascii="Times New Roman" w:hAnsi="Times New Roman"/>
          <w:b w:val="false"/>
          <w:i w:val="false"/>
          <w:color w:val="000000"/>
          <w:sz w:val="22"/>
        </w:rPr>
        <w:t xml:space="preserve"> Die aktive Beteiligung an Kooperationen und Netzwerken zur Förderung und Weiterentwicklung der digitalen Inklusion und Barrierefreiheit wird als notwendig erachtet. Ein Positivbeispiel hierfür ist die Mitnutzung der Umsetzungsdienste und Kompetenzzentren anderer Hochschulen im selben Bundesland (in Ermangelung eigener Einrichtungen). Auch bei hochschulübergreifenden IT-Lösungen sollte es eine bessere Zusammenarbeit zwischen den Hochschulen geben, um die Einhaltung von Barrierefreiheitsanforderungen bei Software-Anbietern einzufordern. Aktuell besteht die Kritik, dass die Barrierefreiheit zu häufig hinter anderen Anforderungen, wie Datenschutz und -sicherheit, zurückgestellt wird.</w:t>
      </w:r>
    </w:p>
    <w:p>
      <w:pPr>
        <w:numPr>
          <w:ilvl w:val="0"/>
          <w:numId w:val="22"/>
        </w:numPr>
        <w:spacing w:before="0" w:after="0"/>
        <w:jc w:val="left"/>
      </w:pPr>
      <w:r>
        <w:rPr>
          <w:rFonts w:ascii="Times New Roman" w:hAnsi="Times New Roman"/>
          <w:b/>
          <w:i w:val="false"/>
          <w:color w:val="000000"/>
          <w:sz w:val="22"/>
        </w:rPr>
        <w:t>Technische Lösungen (4):</w:t>
      </w:r>
      <w:r>
        <w:rPr>
          <w:rFonts w:ascii="Times New Roman" w:hAnsi="Times New Roman"/>
          <w:b w:val="false"/>
          <w:i w:val="false"/>
          <w:color w:val="000000"/>
          <w:sz w:val="22"/>
        </w:rPr>
        <w:t xml:space="preserve"> Es werden konkrete technische Maßnahmen zur Verbesserung der Barrierefreiheit für Studierende und Mitarbeitende erwähnt, wie barrierefreie E-Prüfungen, digitale Lagepläne, Vorlesungsaufzeichnungen mit Untertiteln oder ein barrierefreies Dokumentenmanagementsystem.</w:t>
      </w:r>
    </w:p>
    <w:p>
      <w:pPr>
        <w:numPr>
          <w:ilvl w:val="0"/>
          <w:numId w:val="22"/>
        </w:numPr>
        <w:spacing w:before="0" w:after="0"/>
        <w:jc w:val="left"/>
      </w:pPr>
      <w:r>
        <w:rPr>
          <w:rFonts w:ascii="Times New Roman" w:hAnsi="Times New Roman"/>
          <w:b/>
          <w:i w:val="false"/>
          <w:color w:val="000000"/>
          <w:sz w:val="22"/>
        </w:rPr>
        <w:t>Zugang zu Informationen auf der Webseite (3):</w:t>
      </w:r>
      <w:r>
        <w:rPr>
          <w:rFonts w:ascii="Times New Roman" w:hAnsi="Times New Roman"/>
          <w:b w:val="false"/>
          <w:i w:val="false"/>
          <w:color w:val="000000"/>
          <w:sz w:val="22"/>
        </w:rPr>
        <w:t xml:space="preserve"> Maßnahmen zur Verbesserung der barrierefreien Zugänglichkeit von Internetauftritten sind geplant oder in Arbeit, z. B. durch einen Relaunch des Internetauftritts und auch die Bereitstellung von Informationen in Leichter Sprache oder Deutscher Gebärdensprache auf Websites wird als wichtig erachtet.</w:t>
      </w:r>
    </w:p>
    <w:p>
      <w:pPr>
        <w:numPr>
          <w:ilvl w:val="0"/>
          <w:numId w:val="22"/>
        </w:numPr>
        <w:spacing w:before="0" w:after="0"/>
        <w:jc w:val="left"/>
      </w:pPr>
      <w:r>
        <w:rPr>
          <w:rFonts w:ascii="Times New Roman" w:hAnsi="Times New Roman"/>
          <w:b/>
          <w:i w:val="false"/>
          <w:color w:val="000000"/>
          <w:sz w:val="22"/>
        </w:rPr>
        <w:t>Heterogenität (2):</w:t>
      </w:r>
      <w:r>
        <w:rPr>
          <w:rFonts w:ascii="Times New Roman" w:hAnsi="Times New Roman"/>
          <w:b w:val="false"/>
          <w:i w:val="false"/>
          <w:color w:val="000000"/>
          <w:sz w:val="22"/>
        </w:rPr>
        <w:t xml:space="preserve"> Die Umsetzung digitaler Barrierefreiheit innerhalb der Hochschule ist je nach Fachbereich unterschiedlich. Einige sind bereits gut aufgestellt, andere weniger.</w:t>
      </w:r>
    </w:p>
    <w:p>
      <w:pPr>
        <w:numPr>
          <w:ilvl w:val="0"/>
          <w:numId w:val="22"/>
        </w:numPr>
        <w:spacing w:before="0" w:after="0"/>
        <w:jc w:val="left"/>
      </w:pPr>
      <w:r>
        <w:rPr>
          <w:rFonts w:ascii="Times New Roman" w:hAnsi="Times New Roman"/>
          <w:b/>
          <w:i w:val="false"/>
          <w:color w:val="000000"/>
          <w:sz w:val="22"/>
        </w:rPr>
        <w:t>Sensibilisierungsmaßnahmen (1):</w:t>
      </w:r>
      <w:r>
        <w:rPr>
          <w:rFonts w:ascii="Times New Roman" w:hAnsi="Times New Roman"/>
          <w:b w:val="false"/>
          <w:i w:val="false"/>
          <w:color w:val="000000"/>
          <w:sz w:val="22"/>
        </w:rPr>
        <w:t xml:space="preserve"> Es werden Schulungen und Veranstaltungen zur Sensibilisierung für das Thema digitale Barrierefreiheit durchgeführt, um ein besseres Bewusstsein innerhalb der Hochschulen zu schaffen.</w:t>
      </w:r>
    </w:p>
    <w:bookmarkStart w:name="83ee666e9bff1d46542546edd0f3c713" w:id="44"/>
    <w:p>
      <w:pPr>
        <w:pStyle w:val="Heading1"/>
        <w:spacing w:before="180" w:after="180"/>
        <w:ind w:left="120"/>
        <w:jc w:val="left"/>
      </w:pPr>
      <w:r>
        <w:rPr>
          <w:rFonts w:ascii="Times New Roman" w:hAnsi="Times New Roman"/>
          <w:color w:val="000000"/>
          <w:sz w:val="33"/>
        </w:rPr>
        <w:t>Fazit und Ausblick</w:t>
      </w:r>
    </w:p>
    <w:bookmarkEnd w:id="44"/>
    <w:p>
      <w:pPr>
        <w:spacing w:before="269" w:after="269"/>
        <w:ind w:left="120"/>
        <w:jc w:val="left"/>
      </w:pPr>
      <w:hyperlink r:id="rId46">
        <w:r>
          <w:rPr>
            <w:rFonts w:ascii="Times New Roman" w:hAnsi="Times New Roman"/>
            <w:b w:val="false"/>
            <w:i w:val="false"/>
            <w:color w:val="0000ff"/>
            <w:sz w:val="22"/>
            <w:u w:val="single"/>
          </w:rPr>
          <w:t>Online betrachten</w:t>
        </w:r>
      </w:hyperlink>
    </w:p>
    <w:bookmarkStart w:name="c4878e8a310eb5e86b2cbcf949f6a7f5" w:id="45"/>
    <w:p>
      <w:pPr>
        <w:pStyle w:val="Heading2"/>
        <w:spacing w:before="199" w:after="199"/>
        <w:ind w:left="120"/>
        <w:jc w:val="left"/>
      </w:pPr>
      <w:r>
        <w:rPr>
          <w:rFonts w:ascii="Times New Roman" w:hAnsi="Times New Roman"/>
          <w:color w:val="000000"/>
        </w:rPr>
        <w:t>Fazit zur Umfrage</w:t>
      </w:r>
    </w:p>
    <w:bookmarkEnd w:id="45"/>
    <w:p>
      <w:pPr>
        <w:spacing w:before="269" w:after="269"/>
        <w:ind w:left="120"/>
        <w:jc w:val="left"/>
      </w:pPr>
      <w:r>
        <w:rPr>
          <w:rFonts w:ascii="Times New Roman" w:hAnsi="Times New Roman"/>
          <w:b w:val="false"/>
          <w:i w:val="false"/>
          <w:color w:val="000000"/>
          <w:sz w:val="22"/>
        </w:rPr>
        <w:t>Nach Kenntnis der Taskforce war die Umfrage zur digitalen Barrierefreiheit an Hochschulen die erste ihrer Art und somit ein wichtiger Meilenstein, um einen Eindruck von der Umsetzung digitaler Barrierefreiheit an öffentlich-rechtlichen Hochschulen in Deutschland zu erlangen.</w:t>
      </w:r>
    </w:p>
    <w:p>
      <w:pPr>
        <w:spacing w:before="269" w:after="269"/>
        <w:ind w:left="120"/>
        <w:jc w:val="left"/>
      </w:pPr>
      <w:r>
        <w:rPr>
          <w:rFonts w:ascii="Times New Roman" w:hAnsi="Times New Roman"/>
          <w:b w:val="false"/>
          <w:i w:val="false"/>
          <w:color w:val="000000"/>
          <w:sz w:val="22"/>
        </w:rPr>
        <w:t>Bereits das Ausfüllen der Umfrage veranlasste viele Hochschulen, sich zu unterschiedlichen Themen der digitalen Barrierefreiheit auszutauschen sowie fach- und bereichsübergreifend Informationen zu aktuellen Prozessen, Angeboten und Strukturen zusammenzutragen. Dies regt nicht nur dazu an, den Umsetzungsstand der eigenen Hochschule zu reflektieren, sondern stärkt auch die Sensibilität für das Thema und schafft ein Bewusstsein dafür, wie vielfältig und weitreichend digitale Barrierefreiheit im Hochschulkontext sein kann.</w:t>
      </w:r>
    </w:p>
    <w:p>
      <w:pPr>
        <w:spacing w:before="269" w:after="269"/>
        <w:ind w:left="120"/>
        <w:jc w:val="left"/>
      </w:pPr>
      <w:r>
        <w:rPr>
          <w:rFonts w:ascii="Times New Roman" w:hAnsi="Times New Roman"/>
          <w:b w:val="false"/>
          <w:i w:val="false"/>
          <w:color w:val="000000"/>
          <w:sz w:val="22"/>
        </w:rPr>
        <w:t>Dass die Umfrage von den öffentlich-rechtlichen Hochschulen so gut angenommen wurde, lässt ein grundsätzliches Interesse und eine Aufgeschlossenheit der Teilnehmenden für das Thema vermuten.</w:t>
      </w:r>
    </w:p>
    <w:p>
      <w:pPr>
        <w:spacing w:before="269" w:after="269"/>
        <w:ind w:left="120"/>
        <w:jc w:val="left"/>
      </w:pPr>
      <w:r>
        <w:rPr>
          <w:rFonts w:ascii="Times New Roman" w:hAnsi="Times New Roman"/>
          <w:b w:val="false"/>
          <w:i w:val="false"/>
          <w:color w:val="000000"/>
          <w:sz w:val="22"/>
        </w:rPr>
        <w:t>Ziel der Umfrage war es, einen ersten Überblick zu erhalten, inwiefern digitale Barrierefreiheit an öffentlich-rechtlichen Hochschulen in Deutschland verankert ist. Dabei ist es wichtig zu betonen, dass dies keine objektive, unabhängige Bestandsaufnahme aus Betroffenen-Perspektive war. Denn über die tatsächlichen Barrieren, die Mitarbeitende und Studierende in ihrem Arbeits- und Studien-Alltag erfahren, sagt die Umfrage nur wenig aus. Vielmehr ging es bei der Durchführung der Umfrage darum festzustellen, welche Maßnahmen, Prozesse, Angebote und Strukturen an den Hochschulen existieren, um digitale Barrierefreiheit umzusetzen und zu fördern.</w:t>
      </w:r>
    </w:p>
    <w:p>
      <w:pPr>
        <w:spacing w:before="269" w:after="269"/>
        <w:ind w:left="120"/>
        <w:jc w:val="left"/>
      </w:pPr>
      <w:r>
        <w:rPr>
          <w:rFonts w:ascii="Times New Roman" w:hAnsi="Times New Roman"/>
          <w:b w:val="false"/>
          <w:i w:val="false"/>
          <w:color w:val="000000"/>
          <w:sz w:val="22"/>
        </w:rPr>
        <w:t>Die anfängliche Vermutung, dass sich die Umsetzung digitaler Barrierefreiheit an den Hochschulen stark unterscheidet – sowohl zwischen einzelnen Hochschulen als auch in unterschiedlichen Fach- und Organisationsbereichen innerhalb einer Hochschule – hat sich bei der Auswertung bestätigt.</w:t>
      </w:r>
      <w:r>
        <w:br/>
      </w:r>
      <w:r>
        <w:rPr>
          <w:rFonts w:ascii="Times New Roman" w:hAnsi="Times New Roman"/>
          <w:b w:val="false"/>
          <w:i w:val="false"/>
          <w:color w:val="000000"/>
          <w:sz w:val="22"/>
        </w:rPr>
        <w:t>Als mögliche Ursachen hierfür sind u. a. folgende Erklärungsansätze denkbar:</w:t>
      </w:r>
    </w:p>
    <w:p>
      <w:pPr>
        <w:numPr>
          <w:ilvl w:val="0"/>
          <w:numId w:val="23"/>
        </w:numPr>
        <w:spacing w:before="0" w:after="0"/>
        <w:jc w:val="left"/>
      </w:pPr>
      <w:r>
        <w:rPr>
          <w:rFonts w:ascii="Times New Roman" w:hAnsi="Times New Roman"/>
          <w:b w:val="false"/>
          <w:i w:val="false"/>
          <w:color w:val="000000"/>
          <w:sz w:val="22"/>
        </w:rPr>
        <w:t>Bei den Hochschulen handelt es sich überwiegend um sehr große Einrichtungen mit einer Vielzahl von Mitarbeitenden, Abteilungen und Fachbereichen. Diese komplexen Organisationsstrukturen erschweren ein einheitliches Vorgehen bei der Umsetzung digitaler Barrierefreiheit.</w:t>
      </w:r>
    </w:p>
    <w:p>
      <w:pPr>
        <w:numPr>
          <w:ilvl w:val="0"/>
          <w:numId w:val="23"/>
        </w:numPr>
        <w:spacing w:before="0" w:after="0"/>
        <w:jc w:val="left"/>
      </w:pPr>
      <w:r>
        <w:rPr>
          <w:rFonts w:ascii="Times New Roman" w:hAnsi="Times New Roman"/>
          <w:b w:val="false"/>
          <w:i w:val="false"/>
          <w:color w:val="000000"/>
          <w:sz w:val="22"/>
        </w:rPr>
        <w:t>Lehrende und Dozierende sind für die barrierefreie Gestaltung ihrer Lehre sowie der eingesetzten Lehrmaterialien selbst verantwortlich. Dies kann zu großen Unterschieden in der Umsetzung (digitaler) Barrierefreiheit führen und hängt u. a. von der Sensibilität und dem Engagement der einzelnen Lehrkräfte ab.</w:t>
      </w:r>
    </w:p>
    <w:p>
      <w:pPr>
        <w:numPr>
          <w:ilvl w:val="0"/>
          <w:numId w:val="23"/>
        </w:numPr>
        <w:spacing w:before="0" w:after="0"/>
        <w:jc w:val="left"/>
      </w:pPr>
      <w:r>
        <w:rPr>
          <w:rFonts w:ascii="Times New Roman" w:hAnsi="Times New Roman"/>
          <w:b w:val="false"/>
          <w:i w:val="false"/>
          <w:color w:val="000000"/>
          <w:sz w:val="22"/>
        </w:rPr>
        <w:t>Je nach Bundesland unterscheiden sich die Voraussetzungen der Hochschulen, z. B. in Hinblick auf gesetzliche Rahmenbedingungen und Vorgaben, Strukturen oder die finanzielle und personelle Ausstattung. Dies erschwert auch die länderübergreifende Zusammenarbeit der Hochschulen.</w:t>
      </w:r>
    </w:p>
    <w:p>
      <w:pPr>
        <w:spacing w:before="269" w:after="269"/>
        <w:ind w:left="120"/>
        <w:jc w:val="left"/>
      </w:pPr>
      <w:r>
        <w:rPr>
          <w:rFonts w:ascii="Times New Roman" w:hAnsi="Times New Roman"/>
          <w:b w:val="false"/>
          <w:i w:val="false"/>
          <w:color w:val="000000"/>
          <w:sz w:val="22"/>
        </w:rPr>
        <w:t>Indem in der Umfrage konkrete Maßnahmen und Strukturen abgefragt wurden, ist eine Art Sammlung von Ideen und Lösungsansätzen entstanden, die es den Hochschulen ermöglichen soll, voneinander zu lernen und in einen gemeinsamen Austausch zu treten. Hochschulen, die als Vorreiter im Bereich der digitalen Barrierefreiheit fungieren, liefern Anregungen für andere Hochschulen.</w:t>
      </w:r>
    </w:p>
    <w:p>
      <w:pPr>
        <w:spacing w:before="269" w:after="269"/>
        <w:ind w:left="120"/>
        <w:jc w:val="left"/>
      </w:pPr>
      <w:r>
        <w:rPr>
          <w:rFonts w:ascii="Times New Roman" w:hAnsi="Times New Roman"/>
          <w:b w:val="false"/>
          <w:i w:val="false"/>
          <w:color w:val="000000"/>
          <w:sz w:val="22"/>
        </w:rPr>
        <w:t>Im Folgenden werden einige der in der Umfrage behandelten Themen und daraus abgeleitete Anregungen zusammengefasst:</w:t>
      </w:r>
    </w:p>
    <w:p>
      <w:pPr>
        <w:numPr>
          <w:ilvl w:val="0"/>
          <w:numId w:val="24"/>
        </w:numPr>
        <w:spacing w:before="0" w:after="0"/>
        <w:jc w:val="left"/>
      </w:pPr>
      <w:r>
        <w:rPr>
          <w:rFonts w:ascii="Times New Roman" w:hAnsi="Times New Roman"/>
          <w:b w:val="false"/>
          <w:i w:val="false"/>
          <w:color w:val="000000"/>
          <w:sz w:val="22"/>
        </w:rPr>
        <w:t>Um die digitale Barrierefreiheit nachhaltig sicherzustellen, bedarf es einer strukturellen Verankerung des Themas. Aufgrund der Vielfältigkeit der Themen (z. B. digitale Barrierefreiheit in der Verwaltung, in der Lehre, in Bibliotheken, bei Webauftritten, bei der Beschaffung von IT, für Studierende und Mitarbeitende) kommen unterschiedliche Gremien, Institutionen und Organisationsstrukturen als zuständige Stellen in Betracht. Wichtig dabei ist, dass Zuständigkeiten und Verantwortlichkeiten klar geregelt sind, um eine effektive Zusammenarbeit zu ermöglichen. Die Umsetzung digitaler Barrierefreiheit sollte dabei nicht an Einzelpersonen hängen, sondern organisatorisch sinnvoll verankert sein. Dafür sind ggf. zusätzliche Stellen und entsprechend geschultes Personal erforderlich.</w:t>
      </w:r>
    </w:p>
    <w:p>
      <w:pPr>
        <w:numPr>
          <w:ilvl w:val="0"/>
          <w:numId w:val="24"/>
        </w:numPr>
        <w:spacing w:before="0" w:after="0"/>
        <w:jc w:val="left"/>
      </w:pPr>
      <w:r>
        <w:rPr>
          <w:rFonts w:ascii="Times New Roman" w:hAnsi="Times New Roman"/>
          <w:b w:val="false"/>
          <w:i w:val="false"/>
          <w:color w:val="000000"/>
          <w:sz w:val="22"/>
        </w:rPr>
        <w:t>Gleiches gilt auch für die Prüfung der digitalen Barrierefreiheit von Internetauftritten, z. B. bei Webauftritten. Regelmäßige Prüfungen sind wichtig, um die barrierefreie Zugänglichkeit digitaler Angebote verbessern zu können. Grundsätzlich gibt es unterschiedliche Ansätze für die Prüfung, z. B. Beauftragung externer Stellen oder Durchführung von Selbstbewertungen bei entsprechendem Know-how. Wichtig ist jedoch auch hier eine systematische Verankerung der Zuständigkeiten in der Organisationsstruktur und die Einplanung von Budgets für Prüfungen und Optimierungen.</w:t>
      </w:r>
    </w:p>
    <w:p>
      <w:pPr>
        <w:numPr>
          <w:ilvl w:val="0"/>
          <w:numId w:val="24"/>
        </w:numPr>
        <w:spacing w:before="0" w:after="0"/>
        <w:jc w:val="left"/>
      </w:pPr>
      <w:r>
        <w:rPr>
          <w:rFonts w:ascii="Times New Roman" w:hAnsi="Times New Roman"/>
          <w:b w:val="false"/>
          <w:i w:val="false"/>
          <w:color w:val="000000"/>
          <w:sz w:val="22"/>
        </w:rPr>
        <w:t>Viele Hochschulen bieten ihren Mitarbeitenden bereits Qualifizierungsmaßnahmen und Weiterbildungsangebote im Bereich der digitalen Barrierefreiheit an. Auch die BFIT-Bund-AG Barrierefreie Hochschule hat bereits eine Handreichung „</w:t>
      </w:r>
      <w:hyperlink r:id="rId47">
        <w:r>
          <w:rPr>
            <w:rFonts w:ascii="Times New Roman" w:hAnsi="Times New Roman"/>
            <w:b w:val="false"/>
            <w:i w:val="false"/>
            <w:color w:val="0000ff"/>
            <w:sz w:val="22"/>
            <w:u w:val="single"/>
          </w:rPr>
          <w:t>Barrierefreie Dokumente in Lernkontexten</w:t>
        </w:r>
      </w:hyperlink>
      <w:r>
        <w:rPr>
          <w:rFonts w:ascii="Times New Roman" w:hAnsi="Times New Roman"/>
          <w:b w:val="false"/>
          <w:i w:val="false"/>
          <w:color w:val="000000"/>
          <w:sz w:val="22"/>
        </w:rPr>
        <w:t>" mit Praxistipps zur Erstellung barrierefreier Dokumente veröffentlicht. Entscheidend hierbei ist, wie stark diese Angebote von den Mitarbeitenden und Lehrenden genutzt und in der Praxis umgesetzt werden. Individuelle Beratungs- und Unterstützungsstrukturen können dabei helfen, das theoretische Wissen im Einzelfall praktisch anzuwenden.</w:t>
      </w:r>
    </w:p>
    <w:p>
      <w:pPr>
        <w:numPr>
          <w:ilvl w:val="0"/>
          <w:numId w:val="24"/>
        </w:numPr>
        <w:spacing w:before="0" w:after="0"/>
        <w:jc w:val="left"/>
      </w:pPr>
      <w:r>
        <w:rPr>
          <w:rFonts w:ascii="Times New Roman" w:hAnsi="Times New Roman"/>
          <w:b w:val="false"/>
          <w:i w:val="false"/>
          <w:color w:val="000000"/>
          <w:sz w:val="22"/>
        </w:rPr>
        <w:t>Fachstellen in Form von Service- und Beratungsstellen oder Beauftragte für Studierende mit Behinderung oder chronischer Erkrankung sind als zentrale Anlaufstelle für betroffene Studierende sinnvoll. Der Zugang zu diesen Stellen sollte möglichst einfach und niedrigschwellig sein.</w:t>
      </w:r>
    </w:p>
    <w:p>
      <w:pPr>
        <w:numPr>
          <w:ilvl w:val="0"/>
          <w:numId w:val="24"/>
        </w:numPr>
        <w:spacing w:before="0" w:after="0"/>
        <w:jc w:val="left"/>
      </w:pPr>
      <w:r>
        <w:rPr>
          <w:rFonts w:ascii="Times New Roman" w:hAnsi="Times New Roman"/>
          <w:b w:val="false"/>
          <w:i w:val="false"/>
          <w:color w:val="000000"/>
          <w:sz w:val="22"/>
        </w:rPr>
        <w:t>Eine gleichberechtigte Teilhabe an der Hochschulbildung setzt voraus, dass Studierende mit Behinderung bei Bedarf Zugang zu benötigten assistiven Technologien in Form von Hard- und Software besitzen. Hierfür gibt es unterschiedliche Lösungsstrategien, angefangen bei der Ausstattung von Lehrräumen und Laboren, über die Ausleihe aus bestehenden Hilfsmittelpools bis hin zur individuellen Beschaffung. Wichtig ist dabei, dass entsprechende Lösungen möglichst schnell angeboten werden können, um lange Wartezeiten zu vermeiden.</w:t>
      </w:r>
    </w:p>
    <w:p>
      <w:pPr>
        <w:numPr>
          <w:ilvl w:val="0"/>
          <w:numId w:val="24"/>
        </w:numPr>
        <w:spacing w:before="0" w:after="0"/>
        <w:jc w:val="left"/>
      </w:pPr>
      <w:r>
        <w:rPr>
          <w:rFonts w:ascii="Times New Roman" w:hAnsi="Times New Roman"/>
          <w:b w:val="false"/>
          <w:i w:val="false"/>
          <w:color w:val="000000"/>
          <w:sz w:val="22"/>
        </w:rPr>
        <w:t>Nachteilsausgleiche bei Prüfungen sind für Studierende mit Behinderung essenziell, um faire und gleichberechtigte Bedingungen herzustellen. Bedeutsam ist hier eine individuelle Beurteilung und Anpassung der Prüfungsleistung bzw. deren Rahmenbedingungen je nach Einzelfall.</w:t>
      </w:r>
    </w:p>
    <w:p>
      <w:pPr>
        <w:numPr>
          <w:ilvl w:val="0"/>
          <w:numId w:val="24"/>
        </w:numPr>
        <w:spacing w:before="0" w:after="0"/>
        <w:jc w:val="left"/>
      </w:pPr>
      <w:r>
        <w:rPr>
          <w:rFonts w:ascii="Times New Roman" w:hAnsi="Times New Roman"/>
          <w:b w:val="false"/>
          <w:i w:val="false"/>
          <w:color w:val="000000"/>
          <w:sz w:val="22"/>
        </w:rPr>
        <w:t>Umsetzungsdienste und Kompetenzzentren mit einem besonderen Know-how auf dem Gebiet der (digitalen) Barrierefreiheit können sowohl für betroffene Studierende mit Behinderung als auch für Mitarbeitende, die die Barrierefreiheit umsetzen, eine große Unterstützung sein. Für Hochschulen ohne eigene Umsetzungsdienste oder Kompetenzzentren sollte es andere Anlaufstellen geben, wie beispielsweise Einrichtungen an anderen Hochschulen oder entsprechende Fachstellen des Landes.</w:t>
      </w:r>
    </w:p>
    <w:p>
      <w:pPr>
        <w:numPr>
          <w:ilvl w:val="0"/>
          <w:numId w:val="24"/>
        </w:numPr>
        <w:spacing w:before="0" w:after="0"/>
        <w:jc w:val="left"/>
      </w:pPr>
      <w:r>
        <w:rPr>
          <w:rFonts w:ascii="Times New Roman" w:hAnsi="Times New Roman"/>
          <w:b w:val="false"/>
          <w:i w:val="false"/>
          <w:color w:val="000000"/>
          <w:sz w:val="22"/>
        </w:rPr>
        <w:t>Potenziale für eine hochschulübergreifende Abstimmung und Koordination zeigen sich u. a. in Hinblick auf übergreifende IT-Lösungen. So kann ein gemeinsames Auftreten der Hochschulen gegenüber den Anbietern gängiger IT-Systeme den Forderungen nach einer Verbesserung der barrierefreien Zugänglichkeit Nachdruck verleihen. Des Weiteren können gemeinschaftlich koordinierte Barrierefreiheitsprüfungen und -optimierungen Ressourcen einsparen. Als Ansatzpunkt hierfür hat die BFIT-Bund-AG Barrierefreie Hochschule die Netzwerksammlung „</w:t>
      </w:r>
      <w:hyperlink r:id="rId48">
        <w:r>
          <w:rPr>
            <w:rFonts w:ascii="Times New Roman" w:hAnsi="Times New Roman"/>
            <w:b w:val="false"/>
            <w:i w:val="false"/>
            <w:color w:val="0000ff"/>
            <w:sz w:val="22"/>
            <w:u w:val="single"/>
          </w:rPr>
          <w:t>Infos zur Barrierefreiheit von Lernplattformen</w:t>
        </w:r>
      </w:hyperlink>
      <w:r>
        <w:rPr>
          <w:rFonts w:ascii="Times New Roman" w:hAnsi="Times New Roman"/>
          <w:b w:val="false"/>
          <w:i w:val="false"/>
          <w:color w:val="000000"/>
          <w:sz w:val="22"/>
        </w:rPr>
        <w:t>" erstellt. Sie enthält Kontakte zu den Communities ausgewählter Lernplattformen bezüglich ihres Zustands der Barrierefreiheit.</w:t>
      </w:r>
    </w:p>
    <w:p>
      <w:pPr>
        <w:numPr>
          <w:ilvl w:val="0"/>
          <w:numId w:val="24"/>
        </w:numPr>
        <w:spacing w:before="0" w:after="0"/>
        <w:jc w:val="left"/>
      </w:pPr>
      <w:r>
        <w:rPr>
          <w:rFonts w:ascii="Times New Roman" w:hAnsi="Times New Roman"/>
          <w:b w:val="false"/>
          <w:i w:val="false"/>
          <w:color w:val="000000"/>
          <w:sz w:val="22"/>
        </w:rPr>
        <w:t>Aufgrund neuer gesetzlicher Bestimmungen wird die barrierefreie Zugänglichkeit von Hard- und Software-Produkten für viele Anbieter ein zunehmend wichtiges Thema. Damit Nutzende von Verbesserungen profitieren, ist es wichtig, die Aktualität von Hard- und Software sicherzustellen. Dies gilt sowohl für assistive Technologien als auch für Hard- und Software im Allgemeinen.</w:t>
      </w:r>
    </w:p>
    <w:p>
      <w:pPr>
        <w:numPr>
          <w:ilvl w:val="0"/>
          <w:numId w:val="24"/>
        </w:numPr>
        <w:spacing w:before="0" w:after="0"/>
        <w:jc w:val="left"/>
      </w:pPr>
      <w:r>
        <w:rPr>
          <w:rFonts w:ascii="Times New Roman" w:hAnsi="Times New Roman"/>
          <w:b w:val="false"/>
          <w:i w:val="false"/>
          <w:color w:val="000000"/>
          <w:sz w:val="22"/>
        </w:rPr>
        <w:t>Im Beschaffungsprozess für neue Hard- und Software sollte die Barrierefreiheit eine zentrale Anforderung darstellen. Als Hilfestellung dafür kann der „</w:t>
      </w:r>
      <w:hyperlink r:id="rId49">
        <w:r>
          <w:rPr>
            <w:rFonts w:ascii="Times New Roman" w:hAnsi="Times New Roman"/>
            <w:b w:val="false"/>
            <w:i w:val="false"/>
            <w:color w:val="0000ff"/>
            <w:sz w:val="22"/>
            <w:u w:val="single"/>
          </w:rPr>
          <w:t>Leitfaden zum Vergabeprozess</w:t>
        </w:r>
      </w:hyperlink>
      <w:r>
        <w:rPr>
          <w:rFonts w:ascii="Times New Roman" w:hAnsi="Times New Roman"/>
          <w:b w:val="false"/>
          <w:i w:val="false"/>
          <w:color w:val="000000"/>
          <w:sz w:val="22"/>
        </w:rPr>
        <w:t>" der BFIT-Bund-AG Barrierefreie Hochschule dienen, welcher Rahmenbedingungen für die Beschaffung und Vergabe von IT-Lösungen für öffentliche Stellen am Beispiel der Hochschulen skizziert.</w:t>
      </w:r>
    </w:p>
    <w:p>
      <w:pPr>
        <w:spacing w:before="269" w:after="269"/>
        <w:ind w:left="120"/>
        <w:jc w:val="left"/>
      </w:pPr>
      <w:r>
        <w:rPr>
          <w:rFonts w:ascii="Times New Roman" w:hAnsi="Times New Roman"/>
          <w:b w:val="false"/>
          <w:i w:val="false"/>
          <w:color w:val="000000"/>
          <w:sz w:val="22"/>
        </w:rPr>
        <w:t>Diese Anregungen können als erster Ansatzpunkt dienen, um die digitale Barrierefreiheit an Hochschulen zu verbessern und Strategien und Strukturen zur nachhaltigen Sicherung der Barrierefreiheit zu schaffen und zu verankern.</w:t>
      </w:r>
    </w:p>
    <w:bookmarkStart w:name="530894bcd2ec2ccc031bd5e389595d8d" w:id="46"/>
    <w:p>
      <w:pPr>
        <w:pStyle w:val="Heading2"/>
        <w:spacing w:before="199" w:after="199"/>
        <w:ind w:left="120"/>
        <w:jc w:val="left"/>
      </w:pPr>
      <w:r>
        <w:rPr>
          <w:rFonts w:ascii="Times New Roman" w:hAnsi="Times New Roman"/>
          <w:color w:val="000000"/>
        </w:rPr>
        <w:t>Empfehlung für Hochschulen</w:t>
      </w:r>
    </w:p>
    <w:bookmarkEnd w:id="46"/>
    <w:p>
      <w:pPr>
        <w:spacing w:before="269" w:after="269"/>
        <w:ind w:left="120"/>
        <w:jc w:val="left"/>
      </w:pPr>
      <w:r>
        <w:rPr>
          <w:rFonts w:ascii="Times New Roman" w:hAnsi="Times New Roman"/>
          <w:b w:val="false"/>
          <w:i w:val="false"/>
          <w:color w:val="000000"/>
          <w:sz w:val="22"/>
        </w:rPr>
        <w:t xml:space="preserve">Hochschulen, die das Thema digitale Barrierefreiheit weiter vorantreiben wollen, sei das SHUFFLE-Reifegradmodell empfohlen. Das SHUFFLE-Reifegradmodell ist ein Selbstbewertungstool, das vom Projekt SHUFFLE entwickelt wurde. Mit ihm können Hochschulen analysieren, wie gut sie momentan im Bereich der digitalen Teilhabe aufgestellt sind. Anhand des Ergebnisses werden dann auch automatisiert Handlungsempfehlungen ausgegeben, wie sich Hochschulen in verschiedenen Bereichen weiter verbessern können. Mehr Informationen gibt es auf der Website des </w:t>
      </w:r>
      <w:hyperlink r:id="rId50">
        <w:r>
          <w:rPr>
            <w:rFonts w:ascii="Times New Roman" w:hAnsi="Times New Roman"/>
            <w:b w:val="false"/>
            <w:i w:val="false"/>
            <w:color w:val="0000ff"/>
            <w:sz w:val="22"/>
            <w:u w:val="single"/>
          </w:rPr>
          <w:t>SHUFFLE-Projekts</w:t>
        </w:r>
      </w:hyperlink>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Einige Aspekte der digitalen Teilhabe, die im SHUFFLE-Reifegradmodell behandelt werden, waren bereits Teil dieser Umfrage, andere kommen ergänzend hinzu. Einen Eindruck hierzu vermittelt das folgende Schaubild. Es zeigt, wie viele Informationen durch das Ausfüllen der Umfrage bereits zusammengetragen wurden, die für die SHUFFLE-Reifegrad-Analyse nachgenutzt werden können.</w:t>
      </w:r>
    </w:p>
    <w:p>
      <w:pPr>
        <w:spacing w:before="0" w:after="0"/>
        <w:ind w:left="120"/>
        <w:jc w:val="left"/>
      </w:pPr>
      <w:r>
        <w:drawing>
          <wp:inline distT="0" distB="0" distL="0" distR="0">
            <wp:extent cx="5732145" cy="5657833"/>
            <wp:effectExtent l="0" t="0" r="0" b="0"/>
            <wp:docPr id="25" name="" descr="Schaubild des SHUFFLE-Reifegradmodells, welches die inhaltlichen Überschneidungen zwischen der Umfrage und den Themenfeldern des Reifegradmodells veranschaulicht (Details in der nachfolgenden Tabelle)"/>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732145" cy="5657833"/>
                    </a:xfrm>
                    <a:prstGeom prst="rect">
                      <a:avLst/>
                    </a:prstGeom>
                  </pic:spPr>
                </pic:pic>
              </a:graphicData>
            </a:graphic>
          </wp:inline>
        </w:drawing>
      </w:r>
    </w:p>
    <w:p>
      <w:pPr>
        <w:pStyle w:val="Caption"/>
        <w:spacing w:before="0" w:after="0"/>
        <w:ind w:left="120"/>
        <w:jc w:val="left"/>
      </w:pPr>
      <w:r>
        <w:t xml:space="preserve">Figure </w:t>
      </w:r>
      <w:fldSimple w:instr=" SEQ Figure  \* ARABIC ">
        <w:r>
          <w:t>24</w:t>
        </w:r>
      </w:fldSimple>
      <w:r>
        <w:rPr>
          <w:rFonts w:ascii="Times New Roman" w:hAnsi="Times New Roman"/>
        </w:rPr>
        <w:t>Abbildung 24: Das SHUFFLE-Reifegradmodell besteht aus 19 Themenfeldern, gruppiert in vier Dimensionen: Strategie (blau), Struktur (gelb), Lehren und Lernen (grün) sowie Beratung und Support (rot). Aus den Daten der Umfrage lassen sich bereits erste Reifegradstufen für 7 der 19 Themenfelder ableiten. Die Grafik zeigt für jedes Themenfeld die maximal ermittelbare Stufe: Kollaboration (max. 3), Webauftritt (max. 1), Infrastruktur (max. 4), Beschaffung (max. 3), Nachteilsausgleich (max. 1), Training und Unterstützung (max. 2) sowie Unterstützungsangebot (max. 3)</w:t>
      </w:r>
    </w:p>
    <w:tbl>
      <w:tblPr>
        <w:tblW w:w="0" w:type="auto"/>
        <w:tblCellSpacing w:w="20" w:type="dxa"/>
        <w:tblBorders>
          <w:top w:val="none"/>
          <w:left w:val="none"/>
          <w:bottom w:val="none"/>
          <w:right w:val="none"/>
          <w:insideH w:val="none"/>
          <w:insideV w:val="none"/>
        </w:tblBorders>
      </w:tblPr>
      <w:tblGrid>
        <w:gridCol w:w="4531"/>
        <w:gridCol w:w="4531"/>
        <w:gridCol w:w="4532"/>
      </w:tblGrid>
      <w:tr>
        <w:trPr>
          <w:trHeight w:val="570" w:hRule="atLeast"/>
        </w:trPr>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Dimension</w:t>
            </w: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Themenfeld</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Ermittelbare Reifegradstufe aus den Umfrage-Daten</w:t>
            </w:r>
          </w:p>
        </w:tc>
      </w:tr>
      <w:tr>
        <w:trPr>
          <w:trHeight w:val="555" w:hRule="atLeast"/>
        </w:trPr>
        <w:tc>
          <w:tcPr>
            <w:tcW w:w="4531" w:type="dxa"/>
            <w:vMerge w:val="restart"/>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Strategie</w:t>
            </w: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Zielgruppe Studierende mit Beeinträchtigungen</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Partizipation</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Kollaboration</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max. 3</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Steuerungsinstrumente</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Akkreditierung</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555" w:hRule="atLeast"/>
        </w:trPr>
        <w:tc>
          <w:tcPr>
            <w:tcW w:w="4531" w:type="dxa"/>
            <w:vMerge w:val="restart"/>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Struktur</w:t>
            </w: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Feedback- und Beschwerdemanagement</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Webauftritt</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max. 1</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Infrastruktur</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max. 4</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Beschaffung</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max. 3</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Finanzielle Ressourcen</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Personelle Ressourcen</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285" w:hRule="atLeast"/>
        </w:trPr>
        <w:tc>
          <w:tcPr>
            <w:tcW w:w="4531" w:type="dxa"/>
            <w:vMerge w:val="restart"/>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Lehren und Lernen</w:t>
            </w: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Nachteilsausgleich</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max. 1</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Prüfungsleistungen</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Training und Unterstützung</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max. 2</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Sensibilisierung</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55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Prüfung auf Barrierefreiheit von Lehrmaterialien</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285" w:hRule="atLeast"/>
        </w:trPr>
        <w:tc>
          <w:tcPr>
            <w:tcW w:w="4531" w:type="dxa"/>
            <w:vMerge w:val="restart"/>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Beratung und Support</w:t>
            </w: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Beratung</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Unterstützungsangebot</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max. 3</w:t>
            </w:r>
          </w:p>
        </w:tc>
      </w:tr>
      <w:tr>
        <w:trPr>
          <w:trHeight w:val="285" w:hRule="atLeast"/>
        </w:trPr>
        <w:tc>
          <w:tcPr>
            <w:tcW w:w="0" w:type="auto"/>
            <w:vMerge/>
            <w:tcBorders>
              <w:top w:val="nil"/>
            </w:tcBorders>
          </w:tcPr>
          <w:p/>
        </w:tc>
        <w:tc>
          <w:tcPr>
            <w:tcW w:w="453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Austausch</w:t>
            </w:r>
          </w:p>
        </w:tc>
        <w:tc>
          <w:tcPr>
            <w:tcW w:w="4532"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t>
            </w:r>
          </w:p>
        </w:tc>
      </w:tr>
    </w:tbl>
    <w:p>
      <w:pPr>
        <w:spacing w:before="269" w:after="269"/>
        <w:ind w:left="120"/>
        <w:jc w:val="left"/>
      </w:pPr>
      <w:r>
        <w:rPr>
          <w:rFonts w:ascii="Times New Roman" w:hAnsi="Times New Roman"/>
          <w:b w:val="false"/>
          <w:i w:val="false"/>
          <w:color w:val="000000"/>
          <w:sz w:val="22"/>
        </w:rPr>
        <w:t>Die Selbstbewertung mit dem SHUFFLE-Reifegradmodell bietet eine vertiefende Auseinandersetzung, die sich sowohl für jene Hochschulen lohnt, die bereits an der Umfrage teilgenommen haben als auch für alle anderen.</w:t>
      </w:r>
    </w:p>
    <w:bookmarkStart w:name="529427b9b70657bdc278bddf0d838c76" w:id="47"/>
    <w:p>
      <w:pPr>
        <w:pStyle w:val="Heading2"/>
        <w:spacing w:before="199" w:after="199"/>
        <w:ind w:left="120"/>
        <w:jc w:val="left"/>
      </w:pPr>
      <w:r>
        <w:rPr>
          <w:rFonts w:ascii="Times New Roman" w:hAnsi="Times New Roman"/>
          <w:color w:val="000000"/>
        </w:rPr>
        <w:t>Ausblick</w:t>
      </w:r>
    </w:p>
    <w:bookmarkEnd w:id="47"/>
    <w:p>
      <w:pPr>
        <w:spacing w:before="269" w:after="269"/>
        <w:ind w:left="120"/>
        <w:jc w:val="left"/>
      </w:pPr>
      <w:r>
        <w:rPr>
          <w:rFonts w:ascii="Times New Roman" w:hAnsi="Times New Roman"/>
          <w:b w:val="false"/>
          <w:i w:val="false"/>
          <w:color w:val="000000"/>
          <w:sz w:val="22"/>
        </w:rPr>
        <w:t>Um einen Eindruck davon zu erhalten, wie sich die Umsetzung digitaler Barrierefreiheit an deutschen Hochschulen zukünftig entwickelt, scheint es sinnvoll, diese Art der Umfrage mit etwas zeitlichem Abstand zu wiederholen. Dies kann Rückschlüsse darauf ermöglichen, welchen Stellenwert die Umsetzung digitaler Barrierefreiheit an Hochschulen hat, in welchen Bereichen es ggf. Fortschritte gibt und wo noch Handlungsbedarf besteht. Wünschenswert wäre es, dabei auch jene öffentlich-rechtlichen Hochschulen zu erreichen, die aktuell nicht teilgenommen haben, sowie ggf. auch private Hochschulen in die Umfrage mit einzubeziehen.</w:t>
      </w:r>
    </w:p>
    <w:p>
      <w:pPr>
        <w:spacing w:before="269" w:after="269"/>
        <w:ind w:left="120"/>
        <w:jc w:val="left"/>
      </w:pPr>
      <w:r>
        <w:rPr>
          <w:rFonts w:ascii="Times New Roman" w:hAnsi="Times New Roman"/>
          <w:b w:val="false"/>
          <w:i w:val="false"/>
          <w:color w:val="000000"/>
          <w:sz w:val="22"/>
        </w:rPr>
        <w:t>Ergänzend dazu wäre eine objektive Beurteilung der digitalen Barrierefreiheit im Arbeits- und Studienalltag sinnvoll, um eine bessere Vergleichbarkeit der Hochschulen zu ermöglichen und festzustellen, inwiefern sich die Selbsteinschätzung der Hochschulen mit den tatsächlichen Erfahrungen betroffener Mitarbeitender und Studierender deckt.</w:t>
      </w:r>
    </w:p>
    <w:bookmarkStart w:name="c4bbdca65f470a147a219334a2e22624" w:id="48"/>
    <w:p>
      <w:pPr>
        <w:pStyle w:val="Heading1"/>
        <w:spacing w:before="180" w:after="180"/>
        <w:ind w:left="120"/>
        <w:jc w:val="left"/>
      </w:pPr>
      <w:r>
        <w:rPr>
          <w:rFonts w:ascii="Times New Roman" w:hAnsi="Times New Roman"/>
          <w:color w:val="000000"/>
          <w:sz w:val="33"/>
        </w:rPr>
        <w:t>Anhang A: Fragenliste zur Umfrage</w:t>
      </w:r>
    </w:p>
    <w:bookmarkEnd w:id="48"/>
    <w:p>
      <w:pPr>
        <w:spacing w:before="269" w:after="269"/>
        <w:ind w:left="120"/>
        <w:jc w:val="left"/>
      </w:pPr>
      <w:hyperlink r:id="rId52">
        <w:r>
          <w:rPr>
            <w:rFonts w:ascii="Times New Roman" w:hAnsi="Times New Roman"/>
            <w:b w:val="false"/>
            <w:i w:val="false"/>
            <w:color w:val="0000ff"/>
            <w:sz w:val="22"/>
            <w:u w:val="single"/>
          </w:rPr>
          <w:t>Online betrachten</w:t>
        </w:r>
      </w:hyperlink>
    </w:p>
    <w:bookmarkStart w:name="04a564be5bd60e20eabc82efea334fe4" w:id="49"/>
    <w:p>
      <w:pPr>
        <w:pStyle w:val="Heading2"/>
        <w:spacing w:before="199" w:after="199"/>
        <w:ind w:left="120"/>
        <w:jc w:val="left"/>
      </w:pPr>
      <w:r>
        <w:rPr>
          <w:rFonts w:ascii="Times New Roman" w:hAnsi="Times New Roman"/>
          <w:color w:val="000000"/>
        </w:rPr>
        <w:t>Themenbereich: Allgemeine Fragen</w:t>
      </w:r>
    </w:p>
    <w:bookmarkEnd w:id="49"/>
    <w:p>
      <w:pPr>
        <w:spacing w:before="269" w:after="269"/>
        <w:ind w:left="120"/>
        <w:jc w:val="left"/>
      </w:pPr>
      <w:r>
        <w:rPr>
          <w:rFonts w:ascii="Times New Roman" w:hAnsi="Times New Roman"/>
          <w:b w:val="false"/>
          <w:i w:val="false"/>
          <w:color w:val="000000"/>
          <w:sz w:val="22"/>
        </w:rPr>
        <w:t>Wir bitten Sie zunächst um einige allgemeine Angaben zu Ihrer Person, um ggf. Rückfragen stellen und Ihnen nach Abschluss der Umfrage ein barrierefreies Datenblatt mit Ihrer Selbsteinschätzung zukommen lassen zu können.</w:t>
      </w:r>
    </w:p>
    <w:p>
      <w:pPr>
        <w:spacing w:before="269" w:after="269"/>
        <w:ind w:left="120"/>
        <w:jc w:val="left"/>
      </w:pPr>
      <w:r>
        <w:rPr>
          <w:rFonts w:ascii="Times New Roman" w:hAnsi="Times New Roman"/>
          <w:b w:val="false"/>
          <w:i w:val="false"/>
          <w:color w:val="000000"/>
          <w:sz w:val="22"/>
        </w:rPr>
        <w:t>Pflichtfelder sind mit einem Stern * markiert.</w:t>
      </w:r>
    </w:p>
    <w:p>
      <w:pPr>
        <w:spacing w:before="269" w:after="269"/>
        <w:ind w:left="120"/>
        <w:jc w:val="left"/>
      </w:pPr>
      <w:r>
        <w:rPr>
          <w:rFonts w:ascii="Times New Roman" w:hAnsi="Times New Roman"/>
          <w:b w:val="false"/>
          <w:i w:val="false"/>
          <w:color w:val="000000"/>
          <w:sz w:val="22"/>
        </w:rPr>
        <w:t>1. Name der Hochschule *</w:t>
      </w:r>
    </w:p>
    <w:p>
      <w:pPr>
        <w:spacing w:before="269" w:after="269"/>
        <w:ind w:left="120"/>
        <w:jc w:val="left"/>
      </w:pPr>
      <w:r>
        <w:rPr>
          <w:rFonts w:ascii="Times New Roman" w:hAnsi="Times New Roman"/>
          <w:b w:val="false"/>
          <w:i w:val="false"/>
          <w:color w:val="000000"/>
          <w:sz w:val="22"/>
        </w:rPr>
        <w:t>2. Webadresse der Hochschule *</w:t>
      </w:r>
      <w:r>
        <w:br/>
      </w:r>
      <w:r>
        <w:rPr>
          <w:rFonts w:ascii="Times New Roman" w:hAnsi="Times New Roman"/>
          <w:b w:val="false"/>
          <w:i w:val="false"/>
          <w:color w:val="000000"/>
          <w:sz w:val="22"/>
        </w:rPr>
        <w:t xml:space="preserve">Bitte geben Sie eine vollständige URL an. Beispiel: </w:t>
      </w:r>
      <w:hyperlink r:id="rId53">
        <w:r>
          <w:rPr>
            <w:rFonts w:ascii="Times New Roman" w:hAnsi="Times New Roman"/>
            <w:b w:val="false"/>
            <w:i w:val="false"/>
            <w:color w:val="0000ff"/>
            <w:sz w:val="22"/>
            <w:u w:val="single"/>
          </w:rPr>
          <w:t>www.hdm-stuttgart.de</w:t>
        </w:r>
      </w:hyperlink>
    </w:p>
    <w:p>
      <w:pPr>
        <w:spacing w:before="269" w:after="269"/>
        <w:ind w:left="120"/>
        <w:jc w:val="left"/>
      </w:pPr>
      <w:r>
        <w:rPr>
          <w:rFonts w:ascii="Times New Roman" w:hAnsi="Times New Roman"/>
          <w:b w:val="false"/>
          <w:i w:val="false"/>
          <w:color w:val="000000"/>
          <w:sz w:val="22"/>
        </w:rPr>
        <w:t>3. Rolle des Ausfüllenden an der Hochschule *</w:t>
      </w:r>
      <w:r>
        <w:br/>
      </w:r>
      <w:r>
        <w:rPr>
          <w:rFonts w:ascii="Times New Roman" w:hAnsi="Times New Roman"/>
          <w:b w:val="false"/>
          <w:i w:val="false"/>
          <w:color w:val="000000"/>
          <w:sz w:val="22"/>
        </w:rPr>
        <w:t>Bitte wählen Sie Zutreffendes aus der Liste aus oder wählen Sie „Sonstiges" und geben im Freitextfeld Ihre Rolle an.</w:t>
      </w:r>
    </w:p>
    <w:p>
      <w:pPr>
        <w:numPr>
          <w:ilvl w:val="0"/>
          <w:numId w:val="25"/>
        </w:numPr>
        <w:spacing w:before="0" w:after="0"/>
        <w:jc w:val="left"/>
      </w:pPr>
      <w:r>
        <w:rPr>
          <w:rFonts w:ascii="Times New Roman" w:hAnsi="Times New Roman"/>
          <w:b w:val="false"/>
          <w:i w:val="false"/>
          <w:color w:val="000000"/>
          <w:sz w:val="22"/>
        </w:rPr>
        <w:t>Gleichstellungsbeauftragte</w:t>
      </w:r>
    </w:p>
    <w:p>
      <w:pPr>
        <w:numPr>
          <w:ilvl w:val="0"/>
          <w:numId w:val="25"/>
        </w:numPr>
        <w:spacing w:before="0" w:after="0"/>
        <w:jc w:val="left"/>
      </w:pPr>
      <w:r>
        <w:rPr>
          <w:rFonts w:ascii="Times New Roman" w:hAnsi="Times New Roman"/>
          <w:b w:val="false"/>
          <w:i w:val="false"/>
          <w:color w:val="000000"/>
          <w:sz w:val="22"/>
        </w:rPr>
        <w:t>Inklusionsbeauftragte</w:t>
      </w:r>
    </w:p>
    <w:p>
      <w:pPr>
        <w:numPr>
          <w:ilvl w:val="0"/>
          <w:numId w:val="25"/>
        </w:numPr>
        <w:spacing w:before="0" w:after="0"/>
        <w:jc w:val="left"/>
      </w:pPr>
      <w:r>
        <w:rPr>
          <w:rFonts w:ascii="Times New Roman" w:hAnsi="Times New Roman"/>
          <w:b w:val="false"/>
          <w:i w:val="false"/>
          <w:color w:val="000000"/>
          <w:sz w:val="22"/>
        </w:rPr>
        <w:t>Lehrende</w:t>
      </w:r>
    </w:p>
    <w:p>
      <w:pPr>
        <w:numPr>
          <w:ilvl w:val="0"/>
          <w:numId w:val="25"/>
        </w:numPr>
        <w:spacing w:before="0" w:after="0"/>
        <w:jc w:val="left"/>
      </w:pPr>
      <w:r>
        <w:rPr>
          <w:rFonts w:ascii="Times New Roman" w:hAnsi="Times New Roman"/>
          <w:b w:val="false"/>
          <w:i w:val="false"/>
          <w:color w:val="000000"/>
          <w:sz w:val="22"/>
        </w:rPr>
        <w:t>Mitarbeiter/in für digitale Barrierefreiheit</w:t>
      </w:r>
    </w:p>
    <w:p>
      <w:pPr>
        <w:numPr>
          <w:ilvl w:val="0"/>
          <w:numId w:val="25"/>
        </w:numPr>
        <w:spacing w:before="0" w:after="0"/>
        <w:jc w:val="left"/>
      </w:pPr>
      <w:r>
        <w:rPr>
          <w:rFonts w:ascii="Times New Roman" w:hAnsi="Times New Roman"/>
          <w:b w:val="false"/>
          <w:i w:val="false"/>
          <w:color w:val="000000"/>
          <w:sz w:val="22"/>
        </w:rPr>
        <w:t>Mitarbeitende in Serviceeinrichtungen</w:t>
      </w:r>
    </w:p>
    <w:p>
      <w:pPr>
        <w:numPr>
          <w:ilvl w:val="0"/>
          <w:numId w:val="25"/>
        </w:numPr>
        <w:spacing w:before="0" w:after="0"/>
        <w:jc w:val="left"/>
      </w:pPr>
      <w:r>
        <w:rPr>
          <w:rFonts w:ascii="Times New Roman" w:hAnsi="Times New Roman"/>
          <w:b w:val="false"/>
          <w:i w:val="false"/>
          <w:color w:val="000000"/>
          <w:sz w:val="22"/>
        </w:rPr>
        <w:t>Sonstiges:</w:t>
      </w:r>
    </w:p>
    <w:p>
      <w:pPr>
        <w:spacing w:before="269" w:after="269"/>
        <w:ind w:left="120"/>
        <w:jc w:val="left"/>
      </w:pPr>
      <w:r>
        <w:rPr>
          <w:rFonts w:ascii="Times New Roman" w:hAnsi="Times New Roman"/>
          <w:b w:val="false"/>
          <w:i w:val="false"/>
          <w:color w:val="000000"/>
          <w:sz w:val="22"/>
        </w:rPr>
        <w:t>4. Kontaktdaten für Rückfragen und Zustellung Ihrer Selbsteinschätzung *</w:t>
      </w:r>
      <w:r>
        <w:br/>
      </w:r>
      <w:r>
        <w:rPr>
          <w:rFonts w:ascii="Times New Roman" w:hAnsi="Times New Roman"/>
          <w:b w:val="false"/>
          <w:i w:val="false"/>
          <w:color w:val="000000"/>
          <w:sz w:val="22"/>
        </w:rPr>
        <w:t>Bitte geben Sie Ihren Namen und entweder Ihre E-Mail-Adresse oder Telefonnummer an.</w:t>
      </w:r>
    </w:p>
    <w:p>
      <w:pPr>
        <w:numPr>
          <w:ilvl w:val="0"/>
          <w:numId w:val="26"/>
        </w:numPr>
        <w:spacing w:before="0" w:after="0"/>
        <w:jc w:val="left"/>
      </w:pPr>
      <w:r>
        <w:rPr>
          <w:rFonts w:ascii="Times New Roman" w:hAnsi="Times New Roman"/>
          <w:b w:val="false"/>
          <w:i w:val="false"/>
          <w:color w:val="000000"/>
          <w:sz w:val="22"/>
        </w:rPr>
        <w:t>Name, Vorname:</w:t>
      </w:r>
    </w:p>
    <w:p>
      <w:pPr>
        <w:numPr>
          <w:ilvl w:val="0"/>
          <w:numId w:val="26"/>
        </w:numPr>
        <w:spacing w:before="0" w:after="0"/>
        <w:jc w:val="left"/>
      </w:pPr>
      <w:r>
        <w:rPr>
          <w:rFonts w:ascii="Times New Roman" w:hAnsi="Times New Roman"/>
          <w:b w:val="false"/>
          <w:i w:val="false"/>
          <w:color w:val="000000"/>
          <w:sz w:val="22"/>
        </w:rPr>
        <w:t>E-Mail-Adresse oder Telefonnummer:</w:t>
      </w:r>
    </w:p>
    <w:bookmarkStart w:name="3fc4dddaec30c862df55d177e165323d" w:id="50"/>
    <w:p>
      <w:pPr>
        <w:pStyle w:val="Heading2"/>
        <w:spacing w:before="199" w:after="199"/>
        <w:ind w:left="120"/>
        <w:jc w:val="left"/>
      </w:pPr>
      <w:r>
        <w:rPr>
          <w:rFonts w:ascii="Times New Roman" w:hAnsi="Times New Roman"/>
          <w:color w:val="000000"/>
        </w:rPr>
        <w:t>Themenbereich: Sicht auf Hochschulen</w:t>
      </w:r>
    </w:p>
    <w:bookmarkEnd w:id="50"/>
    <w:p>
      <w:pPr>
        <w:spacing w:before="269" w:after="269"/>
        <w:ind w:left="120"/>
        <w:jc w:val="left"/>
      </w:pPr>
      <w:r>
        <w:rPr>
          <w:rFonts w:ascii="Times New Roman" w:hAnsi="Times New Roman"/>
          <w:b w:val="false"/>
          <w:i w:val="false"/>
          <w:color w:val="000000"/>
          <w:sz w:val="22"/>
        </w:rPr>
        <w:t>5. Gibt es an Ihrer Hochschule Gremien, Institutionen oder Organisationsstrukturen (Steuerungskreis, Arbeitsgruppe, Abteilungen usw.), die das Thema digitaler Barrierefreiheit regelmäßig bearbeiten? *</w:t>
      </w:r>
    </w:p>
    <w:p>
      <w:pPr>
        <w:numPr>
          <w:ilvl w:val="0"/>
          <w:numId w:val="27"/>
        </w:numPr>
        <w:spacing w:before="0" w:after="0"/>
        <w:jc w:val="left"/>
      </w:pPr>
      <w:r>
        <w:rPr>
          <w:rFonts w:ascii="Times New Roman" w:hAnsi="Times New Roman"/>
          <w:b w:val="false"/>
          <w:i w:val="false"/>
          <w:color w:val="000000"/>
          <w:sz w:val="22"/>
        </w:rPr>
        <w:t>ja</w:t>
      </w:r>
    </w:p>
    <w:p>
      <w:pPr>
        <w:numPr>
          <w:ilvl w:val="0"/>
          <w:numId w:val="27"/>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6. Welche Gremien, Institutionen oder strukturelle Organisationen bearbeiten das Thema digitaler Barrierefreiheit regelmäßig (z.B. Arbeitskreis Integration, Treffen der Integrationsbeauftragten,...)? *</w:t>
      </w:r>
      <w:r>
        <w:br/>
      </w:r>
      <w:r>
        <w:rPr>
          <w:rFonts w:ascii="Times New Roman" w:hAnsi="Times New Roman"/>
          <w:b w:val="false"/>
          <w:i w:val="false"/>
          <w:color w:val="000000"/>
          <w:sz w:val="22"/>
        </w:rPr>
        <w:t>Es können sowohl interne als auch externe Angebote genannt werden.</w:t>
      </w:r>
    </w:p>
    <w:p>
      <w:pPr>
        <w:spacing w:before="269" w:after="269"/>
        <w:ind w:left="120"/>
        <w:jc w:val="left"/>
      </w:pPr>
      <w:r>
        <w:rPr>
          <w:rFonts w:ascii="Times New Roman" w:hAnsi="Times New Roman"/>
          <w:b w:val="false"/>
          <w:i w:val="false"/>
          <w:color w:val="000000"/>
          <w:sz w:val="22"/>
        </w:rPr>
        <w:t>7. Wer ist für die Prüfung der Barrierefreiheit der digitalen Infrastruktur (z.B. Webauftritte der Hochschule) verantwortlich? *</w:t>
      </w:r>
      <w:r>
        <w:br/>
      </w:r>
      <w:r>
        <w:rPr>
          <w:rFonts w:ascii="Times New Roman" w:hAnsi="Times New Roman"/>
          <w:b w:val="false"/>
          <w:i w:val="false"/>
          <w:color w:val="000000"/>
          <w:sz w:val="22"/>
        </w:rPr>
        <w:t>Bitte geben Sie den Namen der Person oder der verantwortlichen Stelle an.</w:t>
      </w:r>
    </w:p>
    <w:p>
      <w:pPr>
        <w:spacing w:before="269" w:after="269"/>
        <w:ind w:left="120"/>
        <w:jc w:val="left"/>
      </w:pPr>
      <w:r>
        <w:rPr>
          <w:rFonts w:ascii="Times New Roman" w:hAnsi="Times New Roman"/>
          <w:b w:val="false"/>
          <w:i w:val="false"/>
          <w:color w:val="000000"/>
          <w:sz w:val="22"/>
        </w:rPr>
        <w:t>8. Gibt es an Ihrer Hochschule Forschungsinitiativen zum Thema digitaler Barrierefreiheit? *</w:t>
      </w:r>
    </w:p>
    <w:p>
      <w:pPr>
        <w:numPr>
          <w:ilvl w:val="0"/>
          <w:numId w:val="28"/>
        </w:numPr>
        <w:spacing w:before="0" w:after="0"/>
        <w:jc w:val="left"/>
      </w:pPr>
      <w:r>
        <w:rPr>
          <w:rFonts w:ascii="Times New Roman" w:hAnsi="Times New Roman"/>
          <w:b w:val="false"/>
          <w:i w:val="false"/>
          <w:color w:val="000000"/>
          <w:sz w:val="22"/>
        </w:rPr>
        <w:t>ja</w:t>
      </w:r>
    </w:p>
    <w:p>
      <w:pPr>
        <w:numPr>
          <w:ilvl w:val="0"/>
          <w:numId w:val="28"/>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9. Welche Forschungsinitiativen zum Thema digitaler Barrierefreiheit gibt es an Ihrer Hochschule? *</w:t>
      </w:r>
      <w:r>
        <w:br/>
      </w:r>
      <w:r>
        <w:rPr>
          <w:rFonts w:ascii="Times New Roman" w:hAnsi="Times New Roman"/>
          <w:b w:val="false"/>
          <w:i w:val="false"/>
          <w:color w:val="000000"/>
          <w:sz w:val="22"/>
        </w:rPr>
        <w:t>Bitte geben Sie hier einige Details zu den Forschungsinitiativen an.</w:t>
      </w:r>
    </w:p>
    <w:p>
      <w:pPr>
        <w:numPr>
          <w:ilvl w:val="0"/>
          <w:numId w:val="29"/>
        </w:numPr>
        <w:spacing w:before="0" w:after="0"/>
        <w:jc w:val="left"/>
      </w:pPr>
      <w:r>
        <w:rPr>
          <w:rFonts w:ascii="Times New Roman" w:hAnsi="Times New Roman"/>
          <w:b w:val="false"/>
          <w:i w:val="false"/>
          <w:color w:val="000000"/>
          <w:sz w:val="22"/>
        </w:rPr>
        <w:t>Forschungsinitiative (Name, Beteiligte, Homepage):</w:t>
      </w:r>
    </w:p>
    <w:p>
      <w:pPr>
        <w:numPr>
          <w:ilvl w:val="0"/>
          <w:numId w:val="29"/>
        </w:numPr>
        <w:spacing w:before="0" w:after="0"/>
        <w:jc w:val="left"/>
      </w:pPr>
      <w:r>
        <w:rPr>
          <w:rFonts w:ascii="Times New Roman" w:hAnsi="Times New Roman"/>
          <w:b w:val="false"/>
          <w:i w:val="false"/>
          <w:color w:val="000000"/>
          <w:sz w:val="22"/>
        </w:rPr>
        <w:t>ist mir derzeit nicht bekannt</w:t>
      </w:r>
    </w:p>
    <w:p>
      <w:pPr>
        <w:spacing w:before="269" w:after="269"/>
        <w:ind w:left="120"/>
        <w:jc w:val="left"/>
      </w:pPr>
      <w:r>
        <w:rPr>
          <w:rFonts w:ascii="Times New Roman" w:hAnsi="Times New Roman"/>
          <w:b w:val="false"/>
          <w:i w:val="false"/>
          <w:color w:val="000000"/>
          <w:sz w:val="22"/>
        </w:rPr>
        <w:t>10. Stehen Ihnen und/oder Ihren Mitarbeitenden Weiterbildungsangebote zum Thema digitaler Barrierefreiheit zur Verfügung? *</w:t>
      </w:r>
      <w:r>
        <w:br/>
      </w:r>
      <w:r>
        <w:rPr>
          <w:rFonts w:ascii="Times New Roman" w:hAnsi="Times New Roman"/>
          <w:b w:val="false"/>
          <w:i w:val="false"/>
          <w:color w:val="000000"/>
          <w:sz w:val="22"/>
        </w:rPr>
        <w:t>Hiermit sind sowohl interne als auch externe Angebote gemeint.</w:t>
      </w:r>
    </w:p>
    <w:p>
      <w:pPr>
        <w:numPr>
          <w:ilvl w:val="0"/>
          <w:numId w:val="30"/>
        </w:numPr>
        <w:spacing w:before="0" w:after="0"/>
        <w:jc w:val="left"/>
      </w:pPr>
      <w:r>
        <w:rPr>
          <w:rFonts w:ascii="Times New Roman" w:hAnsi="Times New Roman"/>
          <w:b w:val="false"/>
          <w:i w:val="false"/>
          <w:color w:val="000000"/>
          <w:sz w:val="22"/>
        </w:rPr>
        <w:t>ja</w:t>
      </w:r>
    </w:p>
    <w:p>
      <w:pPr>
        <w:numPr>
          <w:ilvl w:val="0"/>
          <w:numId w:val="30"/>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11. Welche Weiterbildungsangebote stehen Ihnen und/oder Ihren Mitarbeitenden zum Thema digitaler Barrierefreiheit zur Verfügung? *</w:t>
      </w:r>
      <w:r>
        <w:br/>
      </w:r>
      <w:r>
        <w:rPr>
          <w:rFonts w:ascii="Times New Roman" w:hAnsi="Times New Roman"/>
          <w:b w:val="false"/>
          <w:i w:val="false"/>
          <w:color w:val="000000"/>
          <w:sz w:val="22"/>
        </w:rPr>
        <w:t>Hier können sowohl interne als auch externe Angebote genannt werden.</w:t>
      </w:r>
    </w:p>
    <w:p>
      <w:pPr>
        <w:spacing w:before="269" w:after="269"/>
        <w:ind w:left="120"/>
        <w:jc w:val="left"/>
      </w:pPr>
      <w:r>
        <w:rPr>
          <w:rFonts w:ascii="Times New Roman" w:hAnsi="Times New Roman"/>
          <w:b w:val="false"/>
          <w:i w:val="false"/>
          <w:color w:val="000000"/>
          <w:sz w:val="22"/>
        </w:rPr>
        <w:t>12. Gibt es hochschulübergreifende Initiativen (z.B. Umsetzungsdienste, Peer Mentoring) oder spezielle (Lehr-)Angebote für Studierende mit Behinderungen und chronischen Erkrankungen? *</w:t>
      </w:r>
    </w:p>
    <w:p>
      <w:pPr>
        <w:numPr>
          <w:ilvl w:val="0"/>
          <w:numId w:val="31"/>
        </w:numPr>
        <w:spacing w:before="0" w:after="0"/>
        <w:jc w:val="left"/>
      </w:pPr>
      <w:r>
        <w:rPr>
          <w:rFonts w:ascii="Times New Roman" w:hAnsi="Times New Roman"/>
          <w:b w:val="false"/>
          <w:i w:val="false"/>
          <w:color w:val="000000"/>
          <w:sz w:val="22"/>
        </w:rPr>
        <w:t>ja</w:t>
      </w:r>
    </w:p>
    <w:p>
      <w:pPr>
        <w:numPr>
          <w:ilvl w:val="0"/>
          <w:numId w:val="31"/>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13. Welche hochschulübergreifende Initiativen oder speziellen (Lehr-)Angebote für Studierende mit Behinderungen und chronischen Erkrankungen gibt es? *</w:t>
      </w:r>
    </w:p>
    <w:bookmarkStart w:name="2edb7edef95af0a26d3b26cf206606d4" w:id="51"/>
    <w:p>
      <w:pPr>
        <w:pStyle w:val="Heading2"/>
        <w:spacing w:before="199" w:after="199"/>
        <w:ind w:left="120"/>
        <w:jc w:val="left"/>
      </w:pPr>
      <w:r>
        <w:rPr>
          <w:rFonts w:ascii="Times New Roman" w:hAnsi="Times New Roman"/>
          <w:color w:val="000000"/>
        </w:rPr>
        <w:t>Themenbereich: Sicht auf Studierende</w:t>
      </w:r>
    </w:p>
    <w:bookmarkEnd w:id="51"/>
    <w:p>
      <w:pPr>
        <w:spacing w:before="269" w:after="269"/>
        <w:ind w:left="120"/>
        <w:jc w:val="left"/>
      </w:pPr>
      <w:r>
        <w:rPr>
          <w:rFonts w:ascii="Times New Roman" w:hAnsi="Times New Roman"/>
          <w:b w:val="false"/>
          <w:i w:val="false"/>
          <w:color w:val="000000"/>
          <w:sz w:val="22"/>
        </w:rPr>
        <w:t>14. Stellen Sie Ihren Studierenden technische Hilfsmittel zur Verfügung? *</w:t>
      </w:r>
      <w:r>
        <w:br/>
      </w:r>
      <w:r>
        <w:rPr>
          <w:rFonts w:ascii="Times New Roman" w:hAnsi="Times New Roman"/>
          <w:b w:val="false"/>
          <w:i w:val="false"/>
          <w:color w:val="000000"/>
          <w:sz w:val="22"/>
        </w:rPr>
        <w:t>Dies können beispielsweise ausleihbare, barrierefreie Arbeitsplatzrechner, in Hörsälen verbaute Hörgeräte-Technologie oder Braille-Zeilen sein.</w:t>
      </w:r>
    </w:p>
    <w:p>
      <w:pPr>
        <w:numPr>
          <w:ilvl w:val="0"/>
          <w:numId w:val="32"/>
        </w:numPr>
        <w:spacing w:before="0" w:after="0"/>
        <w:jc w:val="left"/>
      </w:pPr>
      <w:r>
        <w:rPr>
          <w:rFonts w:ascii="Times New Roman" w:hAnsi="Times New Roman"/>
          <w:b w:val="false"/>
          <w:i w:val="false"/>
          <w:color w:val="000000"/>
          <w:sz w:val="22"/>
        </w:rPr>
        <w:t>ja</w:t>
      </w:r>
    </w:p>
    <w:p>
      <w:pPr>
        <w:numPr>
          <w:ilvl w:val="0"/>
          <w:numId w:val="32"/>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15. Welche technischen Hilfsmittel stellen Sie Ihren Studierenden zur Verfügung? *</w:t>
      </w:r>
      <w:r>
        <w:br/>
      </w:r>
      <w:r>
        <w:rPr>
          <w:rFonts w:ascii="Times New Roman" w:hAnsi="Times New Roman"/>
          <w:b w:val="false"/>
          <w:i w:val="false"/>
          <w:color w:val="000000"/>
          <w:sz w:val="22"/>
        </w:rPr>
        <w:t>Das können beispielsweise ausleihbare, barrierefreie Arbeitsplatzrechner, in Hörsälen verbaute Hörgeräte-Technologie oder Braille-Zeilen sein.</w:t>
      </w:r>
      <w:r>
        <w:br/>
      </w:r>
      <w:r>
        <w:rPr>
          <w:rFonts w:ascii="Times New Roman" w:hAnsi="Times New Roman"/>
          <w:b w:val="false"/>
          <w:i w:val="false"/>
          <w:color w:val="000000"/>
          <w:sz w:val="22"/>
        </w:rPr>
        <w:t>Bitte geben Sie die Hilfsmittel an und geben Sie uns Hinweise zu Anzahl, Ausstattung, Kontaktadressen und Verlinkungen.</w:t>
      </w:r>
    </w:p>
    <w:p>
      <w:pPr>
        <w:spacing w:before="269" w:after="269"/>
        <w:ind w:left="120"/>
        <w:jc w:val="left"/>
      </w:pPr>
      <w:r>
        <w:rPr>
          <w:rFonts w:ascii="Times New Roman" w:hAnsi="Times New Roman"/>
          <w:b w:val="false"/>
          <w:i w:val="false"/>
          <w:color w:val="000000"/>
          <w:sz w:val="22"/>
        </w:rPr>
        <w:t>16. Können Sie Ihren Studierenden Software für digitale Barrierefreiheit zur Verfügung stellen? *</w:t>
      </w:r>
      <w:r>
        <w:br/>
      </w:r>
      <w:r>
        <w:rPr>
          <w:rFonts w:ascii="Times New Roman" w:hAnsi="Times New Roman"/>
          <w:b w:val="false"/>
          <w:i w:val="false"/>
          <w:color w:val="000000"/>
          <w:sz w:val="22"/>
        </w:rPr>
        <w:t>Dies können beispielsweise Screenreader, Plugins und sowohl kostenpflichtige Anwendungen als auch Open Source sein.</w:t>
      </w:r>
    </w:p>
    <w:p>
      <w:pPr>
        <w:numPr>
          <w:ilvl w:val="0"/>
          <w:numId w:val="33"/>
        </w:numPr>
        <w:spacing w:before="0" w:after="0"/>
        <w:jc w:val="left"/>
      </w:pPr>
      <w:r>
        <w:rPr>
          <w:rFonts w:ascii="Times New Roman" w:hAnsi="Times New Roman"/>
          <w:b w:val="false"/>
          <w:i w:val="false"/>
          <w:color w:val="000000"/>
          <w:sz w:val="22"/>
        </w:rPr>
        <w:t>ja</w:t>
      </w:r>
    </w:p>
    <w:p>
      <w:pPr>
        <w:numPr>
          <w:ilvl w:val="0"/>
          <w:numId w:val="33"/>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17. Welche Software für digitale Barrierefreiheit stellen Sie Ihren Studierenden zur Verfügung? *</w:t>
      </w:r>
      <w:r>
        <w:br/>
      </w:r>
      <w:r>
        <w:rPr>
          <w:rFonts w:ascii="Times New Roman" w:hAnsi="Times New Roman"/>
          <w:b w:val="false"/>
          <w:i w:val="false"/>
          <w:color w:val="000000"/>
          <w:sz w:val="22"/>
        </w:rPr>
        <w:t>Dies können beispielsweise Screenreader, Plugins und sowohl kostenpflichtige Anwendungen als auch Open Source sein.</w:t>
      </w:r>
      <w:r>
        <w:br/>
      </w:r>
      <w:r>
        <w:rPr>
          <w:rFonts w:ascii="Times New Roman" w:hAnsi="Times New Roman"/>
          <w:b w:val="false"/>
          <w:i w:val="false"/>
          <w:color w:val="000000"/>
          <w:sz w:val="22"/>
        </w:rPr>
        <w:t>Bitte geben Sie die Hilfsmittel an und geben Sie uns Hinweise zu Anzahl, Ausstattung, Kontaktadressen und Verlinkungen.</w:t>
      </w:r>
    </w:p>
    <w:p>
      <w:pPr>
        <w:spacing w:before="269" w:after="269"/>
        <w:ind w:left="120"/>
        <w:jc w:val="left"/>
      </w:pPr>
      <w:r>
        <w:rPr>
          <w:rFonts w:ascii="Times New Roman" w:hAnsi="Times New Roman"/>
          <w:b w:val="false"/>
          <w:i w:val="false"/>
          <w:color w:val="000000"/>
          <w:sz w:val="22"/>
        </w:rPr>
        <w:t>18. Können Ihren Studierenden Angebote bezüglich Nachteilsausgleich (z.B. bei Prüfungsleistungen) gewährt werden? *</w:t>
      </w:r>
    </w:p>
    <w:p>
      <w:pPr>
        <w:numPr>
          <w:ilvl w:val="0"/>
          <w:numId w:val="34"/>
        </w:numPr>
        <w:spacing w:before="0" w:after="0"/>
        <w:jc w:val="left"/>
      </w:pPr>
      <w:r>
        <w:rPr>
          <w:rFonts w:ascii="Times New Roman" w:hAnsi="Times New Roman"/>
          <w:b w:val="false"/>
          <w:i w:val="false"/>
          <w:color w:val="000000"/>
          <w:sz w:val="22"/>
        </w:rPr>
        <w:t>ja</w:t>
      </w:r>
    </w:p>
    <w:p>
      <w:pPr>
        <w:numPr>
          <w:ilvl w:val="0"/>
          <w:numId w:val="34"/>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19. Welche Angebote bezüglich Nachteilsausgleich (z.B. bei Prüfungsleistungen) können Ihren Studierenden gewährt werden? *</w:t>
      </w:r>
      <w:r>
        <w:br/>
      </w:r>
      <w:r>
        <w:rPr>
          <w:rFonts w:ascii="Times New Roman" w:hAnsi="Times New Roman"/>
          <w:b w:val="false"/>
          <w:i w:val="false"/>
          <w:color w:val="000000"/>
          <w:sz w:val="22"/>
        </w:rPr>
        <w:t>Bitte nennen Sie den Namen des Angebots bzw. die Form des Nachteilsausgleichs.</w:t>
      </w:r>
    </w:p>
    <w:p>
      <w:pPr>
        <w:spacing w:before="269" w:after="269"/>
        <w:ind w:left="120"/>
        <w:jc w:val="left"/>
      </w:pPr>
      <w:r>
        <w:rPr>
          <w:rFonts w:ascii="Times New Roman" w:hAnsi="Times New Roman"/>
          <w:b w:val="false"/>
          <w:i w:val="false"/>
          <w:color w:val="000000"/>
          <w:sz w:val="22"/>
        </w:rPr>
        <w:t>20. Gibt es an Ihrer Hochschule einen Service zur barrierefreien Umsetzung von Studienmaterialien (Umsetzungsdienst) für Studierende mit Sehbeeinträchtigung und Blindheit? *</w:t>
      </w:r>
    </w:p>
    <w:p>
      <w:pPr>
        <w:numPr>
          <w:ilvl w:val="0"/>
          <w:numId w:val="35"/>
        </w:numPr>
        <w:spacing w:before="0" w:after="0"/>
        <w:jc w:val="left"/>
      </w:pPr>
      <w:r>
        <w:rPr>
          <w:rFonts w:ascii="Times New Roman" w:hAnsi="Times New Roman"/>
          <w:b w:val="false"/>
          <w:i w:val="false"/>
          <w:color w:val="000000"/>
          <w:sz w:val="22"/>
        </w:rPr>
        <w:t>ja</w:t>
      </w:r>
    </w:p>
    <w:p>
      <w:pPr>
        <w:numPr>
          <w:ilvl w:val="0"/>
          <w:numId w:val="35"/>
        </w:numPr>
        <w:spacing w:before="0" w:after="0"/>
        <w:jc w:val="left"/>
      </w:pPr>
      <w:r>
        <w:rPr>
          <w:rFonts w:ascii="Times New Roman" w:hAnsi="Times New Roman"/>
          <w:b w:val="false"/>
          <w:i w:val="false"/>
          <w:color w:val="000000"/>
          <w:sz w:val="22"/>
        </w:rPr>
        <w:t>nein</w:t>
      </w:r>
    </w:p>
    <w:bookmarkStart w:name="967ca35302b70985429dcdcefeb2c61a" w:id="52"/>
    <w:p>
      <w:pPr>
        <w:pStyle w:val="Heading2"/>
        <w:spacing w:before="199" w:after="199"/>
        <w:ind w:left="120"/>
        <w:jc w:val="left"/>
      </w:pPr>
      <w:r>
        <w:rPr>
          <w:rFonts w:ascii="Times New Roman" w:hAnsi="Times New Roman"/>
          <w:color w:val="000000"/>
        </w:rPr>
        <w:t>Themenbereich: Sicht auf Prozesse</w:t>
      </w:r>
    </w:p>
    <w:bookmarkEnd w:id="52"/>
    <w:p>
      <w:pPr>
        <w:spacing w:before="269" w:after="269"/>
        <w:ind w:left="120"/>
        <w:jc w:val="left"/>
      </w:pPr>
      <w:r>
        <w:rPr>
          <w:rFonts w:ascii="Times New Roman" w:hAnsi="Times New Roman"/>
          <w:b w:val="false"/>
          <w:i w:val="false"/>
          <w:color w:val="000000"/>
          <w:sz w:val="22"/>
        </w:rPr>
        <w:t>21. Gibt es einen Schnuppertag, bei dem z.B. explizit assistive Technologien vorgestellt und ausprobiert werden können? *</w:t>
      </w:r>
    </w:p>
    <w:p>
      <w:pPr>
        <w:numPr>
          <w:ilvl w:val="0"/>
          <w:numId w:val="36"/>
        </w:numPr>
        <w:spacing w:before="0" w:after="0"/>
        <w:jc w:val="left"/>
      </w:pPr>
      <w:r>
        <w:rPr>
          <w:rFonts w:ascii="Times New Roman" w:hAnsi="Times New Roman"/>
          <w:b w:val="false"/>
          <w:i w:val="false"/>
          <w:color w:val="000000"/>
          <w:sz w:val="22"/>
        </w:rPr>
        <w:t>ja</w:t>
      </w:r>
    </w:p>
    <w:p>
      <w:pPr>
        <w:numPr>
          <w:ilvl w:val="0"/>
          <w:numId w:val="36"/>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22. Gibt es eine Abstimmung/Koordination mit anderen Hochschulen bezüglich der Umsetzung digitaler Barrierefreiheit? *</w:t>
      </w:r>
    </w:p>
    <w:p>
      <w:pPr>
        <w:numPr>
          <w:ilvl w:val="0"/>
          <w:numId w:val="37"/>
        </w:numPr>
        <w:spacing w:before="0" w:after="0"/>
        <w:jc w:val="left"/>
      </w:pPr>
      <w:r>
        <w:rPr>
          <w:rFonts w:ascii="Times New Roman" w:hAnsi="Times New Roman"/>
          <w:b w:val="false"/>
          <w:i w:val="false"/>
          <w:color w:val="000000"/>
          <w:sz w:val="22"/>
        </w:rPr>
        <w:t>ja</w:t>
      </w:r>
    </w:p>
    <w:p>
      <w:pPr>
        <w:numPr>
          <w:ilvl w:val="0"/>
          <w:numId w:val="37"/>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23. Bekommen Dozierende, beispielsweise über PowerPoint-Vorlagen, Informationen dazu, wie ein Foliensatz barrierefrei erstellt werden kann? *</w:t>
      </w:r>
    </w:p>
    <w:p>
      <w:pPr>
        <w:numPr>
          <w:ilvl w:val="0"/>
          <w:numId w:val="38"/>
        </w:numPr>
        <w:spacing w:before="0" w:after="0"/>
        <w:jc w:val="left"/>
      </w:pPr>
      <w:r>
        <w:rPr>
          <w:rFonts w:ascii="Times New Roman" w:hAnsi="Times New Roman"/>
          <w:b w:val="false"/>
          <w:i w:val="false"/>
          <w:color w:val="000000"/>
          <w:sz w:val="22"/>
        </w:rPr>
        <w:t>ja</w:t>
      </w:r>
    </w:p>
    <w:p>
      <w:pPr>
        <w:numPr>
          <w:ilvl w:val="0"/>
          <w:numId w:val="38"/>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24. Gibt es an Ihrer Hochschule unterstützende Maßnahmen (z.B. Weiterbildung), damit Ihre Lehre barrierefrei(er) wird? *</w:t>
      </w:r>
    </w:p>
    <w:p>
      <w:pPr>
        <w:numPr>
          <w:ilvl w:val="0"/>
          <w:numId w:val="39"/>
        </w:numPr>
        <w:spacing w:before="0" w:after="0"/>
        <w:jc w:val="left"/>
      </w:pPr>
      <w:r>
        <w:rPr>
          <w:rFonts w:ascii="Times New Roman" w:hAnsi="Times New Roman"/>
          <w:b w:val="false"/>
          <w:i w:val="false"/>
          <w:color w:val="000000"/>
          <w:sz w:val="22"/>
        </w:rPr>
        <w:t>ja</w:t>
      </w:r>
    </w:p>
    <w:p>
      <w:pPr>
        <w:numPr>
          <w:ilvl w:val="0"/>
          <w:numId w:val="39"/>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25. Welche unterstützenden Maßnahmen (z.B. Weiterbildung) gibt es an Ihrer Hochschule, damit Ihre Lehre barrierefrei(er) wird? *</w:t>
      </w:r>
    </w:p>
    <w:p>
      <w:pPr>
        <w:spacing w:before="269" w:after="269"/>
        <w:ind w:left="120"/>
        <w:jc w:val="left"/>
      </w:pPr>
      <w:r>
        <w:rPr>
          <w:rFonts w:ascii="Times New Roman" w:hAnsi="Times New Roman"/>
          <w:b w:val="false"/>
          <w:i w:val="false"/>
          <w:color w:val="000000"/>
          <w:sz w:val="22"/>
        </w:rPr>
        <w:t>26. Bei welcher Zielgruppe werden die Angebote an Ihrer Hochschule bekannt gemacht? *</w:t>
      </w:r>
      <w:r>
        <w:br/>
      </w:r>
      <w:r>
        <w:rPr>
          <w:rFonts w:ascii="Times New Roman" w:hAnsi="Times New Roman"/>
          <w:b w:val="false"/>
          <w:i w:val="false"/>
          <w:color w:val="000000"/>
          <w:sz w:val="22"/>
        </w:rPr>
        <w:t>Bitte wählen Sie Zutreffendes aus (Mehrfachauswahl möglich).</w:t>
      </w:r>
    </w:p>
    <w:p>
      <w:pPr>
        <w:numPr>
          <w:ilvl w:val="0"/>
          <w:numId w:val="40"/>
        </w:numPr>
        <w:spacing w:before="0" w:after="0"/>
        <w:jc w:val="left"/>
      </w:pPr>
      <w:r>
        <w:rPr>
          <w:rFonts w:ascii="Times New Roman" w:hAnsi="Times New Roman"/>
          <w:b w:val="false"/>
          <w:i w:val="false"/>
          <w:color w:val="000000"/>
          <w:sz w:val="22"/>
        </w:rPr>
        <w:t>Bei Dozentinnen und Dozenten</w:t>
      </w:r>
    </w:p>
    <w:p>
      <w:pPr>
        <w:numPr>
          <w:ilvl w:val="0"/>
          <w:numId w:val="40"/>
        </w:numPr>
        <w:spacing w:before="0" w:after="0"/>
        <w:jc w:val="left"/>
      </w:pPr>
      <w:r>
        <w:rPr>
          <w:rFonts w:ascii="Times New Roman" w:hAnsi="Times New Roman"/>
          <w:b w:val="false"/>
          <w:i w:val="false"/>
          <w:color w:val="000000"/>
          <w:sz w:val="22"/>
        </w:rPr>
        <w:t>Bei Mitarbeiterinnen und Mitarbeitern</w:t>
      </w:r>
    </w:p>
    <w:p>
      <w:pPr>
        <w:numPr>
          <w:ilvl w:val="0"/>
          <w:numId w:val="40"/>
        </w:numPr>
        <w:spacing w:before="0" w:after="0"/>
        <w:jc w:val="left"/>
      </w:pPr>
      <w:r>
        <w:rPr>
          <w:rFonts w:ascii="Times New Roman" w:hAnsi="Times New Roman"/>
          <w:b w:val="false"/>
          <w:i w:val="false"/>
          <w:color w:val="000000"/>
          <w:sz w:val="22"/>
        </w:rPr>
        <w:t>Bei Studierenden</w:t>
      </w:r>
    </w:p>
    <w:p>
      <w:pPr>
        <w:numPr>
          <w:ilvl w:val="0"/>
          <w:numId w:val="40"/>
        </w:numPr>
        <w:spacing w:before="0" w:after="0"/>
        <w:jc w:val="left"/>
      </w:pPr>
      <w:r>
        <w:rPr>
          <w:rFonts w:ascii="Times New Roman" w:hAnsi="Times New Roman"/>
          <w:b w:val="false"/>
          <w:i w:val="false"/>
          <w:color w:val="000000"/>
          <w:sz w:val="22"/>
        </w:rPr>
        <w:t>Das ist mir nicht bekannt</w:t>
      </w:r>
    </w:p>
    <w:p>
      <w:pPr>
        <w:spacing w:before="269" w:after="269"/>
        <w:ind w:left="120"/>
        <w:jc w:val="left"/>
      </w:pPr>
      <w:r>
        <w:rPr>
          <w:rFonts w:ascii="Times New Roman" w:hAnsi="Times New Roman"/>
          <w:b w:val="false"/>
          <w:i w:val="false"/>
          <w:color w:val="000000"/>
          <w:sz w:val="22"/>
        </w:rPr>
        <w:t>27. Wie werden die Angebote in Ihrer Hochschule bekannt gemacht? *</w:t>
      </w:r>
    </w:p>
    <w:p>
      <w:pPr>
        <w:spacing w:before="269" w:after="269"/>
        <w:ind w:left="120"/>
        <w:jc w:val="left"/>
      </w:pPr>
      <w:r>
        <w:rPr>
          <w:rFonts w:ascii="Times New Roman" w:hAnsi="Times New Roman"/>
          <w:b w:val="false"/>
          <w:i w:val="false"/>
          <w:color w:val="000000"/>
          <w:sz w:val="22"/>
        </w:rPr>
        <w:t>28. Werden die digitalen Angebote Ihrer Hochschule regelmäßig auf Barrierefreiheit geprüft? *</w:t>
      </w:r>
    </w:p>
    <w:p>
      <w:pPr>
        <w:numPr>
          <w:ilvl w:val="0"/>
          <w:numId w:val="41"/>
        </w:numPr>
        <w:spacing w:before="0" w:after="0"/>
        <w:jc w:val="left"/>
      </w:pPr>
      <w:r>
        <w:rPr>
          <w:rFonts w:ascii="Times New Roman" w:hAnsi="Times New Roman"/>
          <w:b w:val="false"/>
          <w:i w:val="false"/>
          <w:color w:val="000000"/>
          <w:sz w:val="22"/>
        </w:rPr>
        <w:t>ja, Prüfung durch Dritte (Agentur o.ä.):</w:t>
      </w:r>
    </w:p>
    <w:p>
      <w:pPr>
        <w:numPr>
          <w:ilvl w:val="0"/>
          <w:numId w:val="41"/>
        </w:numPr>
        <w:spacing w:before="0" w:after="0"/>
        <w:jc w:val="left"/>
      </w:pPr>
      <w:r>
        <w:rPr>
          <w:rFonts w:ascii="Times New Roman" w:hAnsi="Times New Roman"/>
          <w:b w:val="false"/>
          <w:i w:val="false"/>
          <w:color w:val="000000"/>
          <w:sz w:val="22"/>
        </w:rPr>
        <w:t>ja, durch Selbstbewertung</w:t>
      </w:r>
    </w:p>
    <w:p>
      <w:pPr>
        <w:numPr>
          <w:ilvl w:val="0"/>
          <w:numId w:val="41"/>
        </w:numPr>
        <w:spacing w:before="0" w:after="0"/>
        <w:jc w:val="left"/>
      </w:pPr>
      <w:r>
        <w:rPr>
          <w:rFonts w:ascii="Times New Roman" w:hAnsi="Times New Roman"/>
          <w:b w:val="false"/>
          <w:i w:val="false"/>
          <w:color w:val="000000"/>
          <w:sz w:val="22"/>
        </w:rPr>
        <w:t>nein, bisher noch nicht</w:t>
      </w:r>
    </w:p>
    <w:p>
      <w:pPr>
        <w:spacing w:before="269" w:after="269"/>
        <w:ind w:left="120"/>
        <w:jc w:val="left"/>
      </w:pPr>
      <w:r>
        <w:rPr>
          <w:rFonts w:ascii="Times New Roman" w:hAnsi="Times New Roman"/>
          <w:b w:val="false"/>
          <w:i w:val="false"/>
          <w:color w:val="000000"/>
          <w:sz w:val="22"/>
        </w:rPr>
        <w:t>29. Wie wird eine regelmäßige Pflege und Aktualisierung der Software sichergestellt? *</w:t>
      </w:r>
    </w:p>
    <w:p>
      <w:pPr>
        <w:spacing w:before="269" w:after="269"/>
        <w:ind w:left="120"/>
        <w:jc w:val="left"/>
      </w:pPr>
      <w:r>
        <w:rPr>
          <w:rFonts w:ascii="Times New Roman" w:hAnsi="Times New Roman"/>
          <w:b w:val="false"/>
          <w:i w:val="false"/>
          <w:color w:val="000000"/>
          <w:sz w:val="22"/>
        </w:rPr>
        <w:t>30. Wie wird eine regelmäßige Pflege und Aktualisierung der Hardware sichergestellt? *</w:t>
      </w:r>
    </w:p>
    <w:p>
      <w:pPr>
        <w:spacing w:before="269" w:after="269"/>
        <w:ind w:left="120"/>
        <w:jc w:val="left"/>
      </w:pPr>
      <w:r>
        <w:rPr>
          <w:rFonts w:ascii="Times New Roman" w:hAnsi="Times New Roman"/>
          <w:b w:val="false"/>
          <w:i w:val="false"/>
          <w:color w:val="000000"/>
          <w:sz w:val="22"/>
        </w:rPr>
        <w:t>31. Wird im Beschaffungsprozess für neue Softwarelizenzen digitale Barrierefreiheit berücksichtigt? *</w:t>
      </w:r>
    </w:p>
    <w:p>
      <w:pPr>
        <w:numPr>
          <w:ilvl w:val="0"/>
          <w:numId w:val="42"/>
        </w:numPr>
        <w:spacing w:before="0" w:after="0"/>
        <w:jc w:val="left"/>
      </w:pPr>
      <w:r>
        <w:rPr>
          <w:rFonts w:ascii="Times New Roman" w:hAnsi="Times New Roman"/>
          <w:b w:val="false"/>
          <w:i w:val="false"/>
          <w:color w:val="000000"/>
          <w:sz w:val="22"/>
        </w:rPr>
        <w:t>ja</w:t>
      </w:r>
    </w:p>
    <w:p>
      <w:pPr>
        <w:numPr>
          <w:ilvl w:val="0"/>
          <w:numId w:val="42"/>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32. Wird im Beschaffungsprozess für neue Hardware digitale Barrierefreiheit berücksichtigt? *</w:t>
      </w:r>
    </w:p>
    <w:p>
      <w:pPr>
        <w:numPr>
          <w:ilvl w:val="0"/>
          <w:numId w:val="43"/>
        </w:numPr>
        <w:spacing w:before="0" w:after="0"/>
        <w:jc w:val="left"/>
      </w:pPr>
      <w:r>
        <w:rPr>
          <w:rFonts w:ascii="Times New Roman" w:hAnsi="Times New Roman"/>
          <w:b w:val="false"/>
          <w:i w:val="false"/>
          <w:color w:val="000000"/>
          <w:sz w:val="22"/>
        </w:rPr>
        <w:t>ja</w:t>
      </w:r>
    </w:p>
    <w:p>
      <w:pPr>
        <w:numPr>
          <w:ilvl w:val="0"/>
          <w:numId w:val="43"/>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33. Wird bei der Einführung hochschulweiter IT-Systeme digitale Barrierefreiheit berücksichtigt? *</w:t>
      </w:r>
      <w:r>
        <w:br/>
      </w:r>
      <w:r>
        <w:rPr>
          <w:rFonts w:ascii="Times New Roman" w:hAnsi="Times New Roman"/>
          <w:b w:val="false"/>
          <w:i w:val="false"/>
          <w:color w:val="000000"/>
          <w:sz w:val="22"/>
        </w:rPr>
        <w:t>Dies kann beispielsweise bei Webservern, Cloud-Speichern oder Lernmanagement-Systemen der Fall sein.</w:t>
      </w:r>
    </w:p>
    <w:p>
      <w:pPr>
        <w:numPr>
          <w:ilvl w:val="0"/>
          <w:numId w:val="44"/>
        </w:numPr>
        <w:spacing w:before="0" w:after="0"/>
        <w:jc w:val="left"/>
      </w:pPr>
      <w:r>
        <w:rPr>
          <w:rFonts w:ascii="Times New Roman" w:hAnsi="Times New Roman"/>
          <w:b w:val="false"/>
          <w:i w:val="false"/>
          <w:color w:val="000000"/>
          <w:sz w:val="22"/>
        </w:rPr>
        <w:t>ja</w:t>
      </w:r>
    </w:p>
    <w:p>
      <w:pPr>
        <w:numPr>
          <w:ilvl w:val="0"/>
          <w:numId w:val="44"/>
        </w:numPr>
        <w:spacing w:before="0" w:after="0"/>
        <w:jc w:val="left"/>
      </w:pPr>
      <w:r>
        <w:rPr>
          <w:rFonts w:ascii="Times New Roman" w:hAnsi="Times New Roman"/>
          <w:b w:val="false"/>
          <w:i w:val="false"/>
          <w:color w:val="000000"/>
          <w:sz w:val="22"/>
        </w:rPr>
        <w:t>zum Teil</w:t>
      </w:r>
    </w:p>
    <w:p>
      <w:pPr>
        <w:numPr>
          <w:ilvl w:val="0"/>
          <w:numId w:val="44"/>
        </w:numPr>
        <w:spacing w:before="0" w:after="0"/>
        <w:jc w:val="left"/>
      </w:pPr>
      <w:r>
        <w:rPr>
          <w:rFonts w:ascii="Times New Roman" w:hAnsi="Times New Roman"/>
          <w:b w:val="false"/>
          <w:i w:val="false"/>
          <w:color w:val="000000"/>
          <w:sz w:val="22"/>
        </w:rPr>
        <w:t>nein</w:t>
      </w:r>
    </w:p>
    <w:p>
      <w:pPr>
        <w:numPr>
          <w:ilvl w:val="0"/>
          <w:numId w:val="44"/>
        </w:numPr>
        <w:spacing w:before="0" w:after="0"/>
        <w:jc w:val="left"/>
      </w:pPr>
      <w:r>
        <w:rPr>
          <w:rFonts w:ascii="Times New Roman" w:hAnsi="Times New Roman"/>
          <w:b w:val="false"/>
          <w:i w:val="false"/>
          <w:color w:val="000000"/>
          <w:sz w:val="22"/>
        </w:rPr>
        <w:t>weiß nicht</w:t>
      </w:r>
    </w:p>
    <w:p>
      <w:pPr>
        <w:spacing w:before="269" w:after="269"/>
        <w:ind w:left="120"/>
        <w:jc w:val="left"/>
      </w:pPr>
      <w:r>
        <w:rPr>
          <w:rFonts w:ascii="Times New Roman" w:hAnsi="Times New Roman"/>
          <w:b w:val="false"/>
          <w:i w:val="false"/>
          <w:color w:val="000000"/>
          <w:sz w:val="22"/>
        </w:rPr>
        <w:t>34. Gibt es an Ihrer Hochschule eine Schwerbehindertenvertretung? *</w:t>
      </w:r>
    </w:p>
    <w:p>
      <w:pPr>
        <w:numPr>
          <w:ilvl w:val="0"/>
          <w:numId w:val="45"/>
        </w:numPr>
        <w:spacing w:before="0" w:after="0"/>
        <w:jc w:val="left"/>
      </w:pPr>
      <w:r>
        <w:rPr>
          <w:rFonts w:ascii="Times New Roman" w:hAnsi="Times New Roman"/>
          <w:b w:val="false"/>
          <w:i w:val="false"/>
          <w:color w:val="000000"/>
          <w:sz w:val="22"/>
        </w:rPr>
        <w:t>ja</w:t>
      </w:r>
    </w:p>
    <w:p>
      <w:pPr>
        <w:numPr>
          <w:ilvl w:val="0"/>
          <w:numId w:val="45"/>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35. Wird die Schwerbehindertenvertretung an den Prozessen beteiligt und angehört? *</w:t>
      </w:r>
    </w:p>
    <w:p>
      <w:pPr>
        <w:numPr>
          <w:ilvl w:val="0"/>
          <w:numId w:val="46"/>
        </w:numPr>
        <w:spacing w:before="0" w:after="0"/>
        <w:jc w:val="left"/>
      </w:pPr>
      <w:r>
        <w:rPr>
          <w:rFonts w:ascii="Times New Roman" w:hAnsi="Times New Roman"/>
          <w:b w:val="false"/>
          <w:i w:val="false"/>
          <w:color w:val="000000"/>
          <w:sz w:val="22"/>
        </w:rPr>
        <w:t>ja</w:t>
      </w:r>
    </w:p>
    <w:p>
      <w:pPr>
        <w:numPr>
          <w:ilvl w:val="0"/>
          <w:numId w:val="46"/>
        </w:numPr>
        <w:spacing w:before="0" w:after="0"/>
        <w:jc w:val="left"/>
      </w:pPr>
      <w:r>
        <w:rPr>
          <w:rFonts w:ascii="Times New Roman" w:hAnsi="Times New Roman"/>
          <w:b w:val="false"/>
          <w:i w:val="false"/>
          <w:color w:val="000000"/>
          <w:sz w:val="22"/>
        </w:rPr>
        <w:t>nein</w:t>
      </w:r>
    </w:p>
    <w:p>
      <w:pPr>
        <w:spacing w:before="269" w:after="269"/>
        <w:ind w:left="120"/>
        <w:jc w:val="left"/>
      </w:pPr>
      <w:r>
        <w:rPr>
          <w:rFonts w:ascii="Times New Roman" w:hAnsi="Times New Roman"/>
          <w:b w:val="false"/>
          <w:i w:val="false"/>
          <w:color w:val="000000"/>
          <w:sz w:val="22"/>
        </w:rPr>
        <w:t>36. Gibt es weitere Informationen, die das Profil Ihrer Hochschule bezüglich digitaler Barrierefreiheit ergänzen? *</w:t>
      </w:r>
    </w:p>
    <w:p>
      <w:pPr>
        <w:numPr>
          <w:ilvl w:val="0"/>
          <w:numId w:val="47"/>
        </w:numPr>
        <w:spacing w:before="0" w:after="0"/>
        <w:jc w:val="left"/>
      </w:pPr>
      <w:r>
        <w:rPr>
          <w:rFonts w:ascii="Times New Roman" w:hAnsi="Times New Roman"/>
          <w:b w:val="false"/>
          <w:i w:val="false"/>
          <w:color w:val="000000"/>
          <w:sz w:val="22"/>
        </w:rPr>
        <w:t>ja, und zwar:</w:t>
      </w:r>
    </w:p>
    <w:p>
      <w:pPr>
        <w:numPr>
          <w:ilvl w:val="0"/>
          <w:numId w:val="47"/>
        </w:numPr>
        <w:spacing w:before="0" w:after="0"/>
        <w:jc w:val="left"/>
      </w:pPr>
      <w:r>
        <w:rPr>
          <w:rFonts w:ascii="Times New Roman" w:hAnsi="Times New Roman"/>
          <w:b w:val="false"/>
          <w:i w:val="false"/>
          <w:color w:val="000000"/>
          <w:sz w:val="22"/>
        </w:rPr>
        <w:t>nein</w:t>
      </w:r>
    </w:p>
    <w:bookmarkStart w:name="f78d7f04bba37339c1d073302c3a4e06" w:id="53"/>
    <w:p>
      <w:pPr>
        <w:pStyle w:val="Heading1"/>
        <w:spacing w:before="180" w:after="180"/>
        <w:ind w:left="120"/>
        <w:jc w:val="left"/>
      </w:pPr>
      <w:r>
        <w:rPr>
          <w:rFonts w:ascii="Times New Roman" w:hAnsi="Times New Roman"/>
          <w:color w:val="000000"/>
          <w:sz w:val="33"/>
        </w:rPr>
        <w:t>Anhang B: Nachweise und weiterführende Informationen</w:t>
      </w:r>
    </w:p>
    <w:bookmarkEnd w:id="53"/>
    <w:p>
      <w:pPr>
        <w:spacing w:before="269" w:after="269"/>
        <w:ind w:left="120"/>
        <w:jc w:val="left"/>
      </w:pPr>
      <w:hyperlink r:id="rId54">
        <w:r>
          <w:rPr>
            <w:rFonts w:ascii="Times New Roman" w:hAnsi="Times New Roman"/>
            <w:b w:val="false"/>
            <w:i w:val="false"/>
            <w:color w:val="0000ff"/>
            <w:sz w:val="22"/>
            <w:u w:val="single"/>
          </w:rPr>
          <w:t>Online betrachten</w:t>
        </w:r>
      </w:hyperlink>
    </w:p>
    <w:bookmarkStart w:name="1ca7eff63c4ea0f2549aa3cb03b468f3" w:id="54"/>
    <w:p>
      <w:pPr>
        <w:pStyle w:val="Heading2"/>
        <w:spacing w:before="199" w:after="199"/>
        <w:ind w:left="120"/>
        <w:jc w:val="left"/>
      </w:pPr>
      <w:r>
        <w:rPr>
          <w:rFonts w:ascii="Times New Roman" w:hAnsi="Times New Roman"/>
          <w:color w:val="000000"/>
        </w:rPr>
        <w:t>Quellennachweise</w:t>
      </w:r>
    </w:p>
    <w:bookmarkEnd w:id="54"/>
    <w:p>
      <w:pPr>
        <w:numPr>
          <w:ilvl w:val="0"/>
          <w:numId w:val="48"/>
        </w:numPr>
        <w:spacing w:before="0" w:after="0"/>
        <w:jc w:val="left"/>
      </w:pPr>
      <w:r>
        <w:rPr>
          <w:rFonts w:ascii="Times New Roman" w:hAnsi="Times New Roman"/>
          <w:b w:val="false"/>
          <w:i w:val="false"/>
          <w:color w:val="000000"/>
          <w:sz w:val="22"/>
        </w:rPr>
        <w:t xml:space="preserve">Portal Barrierefreiheit der Dienstekonsolidierung des Bundes. Portal Barrierefreiheit - Gesetze und Richtlinien. URL: </w:t>
      </w:r>
      <w:hyperlink r:id="rId55">
        <w:r>
          <w:rPr>
            <w:rFonts w:ascii="Times New Roman" w:hAnsi="Times New Roman"/>
            <w:b w:val="false"/>
            <w:i w:val="false"/>
            <w:color w:val="0000ff"/>
            <w:sz w:val="22"/>
            <w:u w:val="single"/>
          </w:rPr>
          <w:t>https://www.barrierefreiheit-dienstekonsolidierung.bund.de/Webs/PB/DE/gesetze-und-richtlinien/gesetze-und-richtlinien-node.html</w:t>
        </w:r>
      </w:hyperlink>
      <w:r>
        <w:rPr>
          <w:rFonts w:ascii="Times New Roman" w:hAnsi="Times New Roman"/>
          <w:b w:val="false"/>
          <w:i w:val="false"/>
          <w:color w:val="000000"/>
          <w:sz w:val="22"/>
        </w:rPr>
        <w:t>, Abrufdatum: 2025-01-29</w:t>
      </w:r>
    </w:p>
    <w:p>
      <w:pPr>
        <w:numPr>
          <w:ilvl w:val="0"/>
          <w:numId w:val="48"/>
        </w:numPr>
        <w:spacing w:before="0" w:after="0"/>
        <w:jc w:val="left"/>
      </w:pPr>
      <w:r>
        <w:rPr>
          <w:rFonts w:ascii="Times New Roman" w:hAnsi="Times New Roman"/>
          <w:b w:val="false"/>
          <w:i w:val="false"/>
          <w:color w:val="000000"/>
          <w:sz w:val="22"/>
        </w:rPr>
        <w:t xml:space="preserve">Überwachungsstelle des Bundes für Barrierefreiheit von Informationstechnik. Leitfaden zum Vergabeprozess: Rahmenbedingungen für die Beschaffung und Vergabe von IT-Lösungen für öffentliche Stellen am Beispiel der Hochschulen (Version 1.0, 2023-09-06). URL: </w:t>
      </w:r>
      <w:hyperlink r:id="rId56">
        <w:r>
          <w:rPr>
            <w:rFonts w:ascii="Times New Roman" w:hAnsi="Times New Roman"/>
            <w:b w:val="false"/>
            <w:i w:val="false"/>
            <w:color w:val="0000ff"/>
            <w:sz w:val="22"/>
            <w:u w:val="single"/>
          </w:rPr>
          <w:t>https://handreichungen.bfit-bund.de/leitfaden-vergabeprozess/</w:t>
        </w:r>
      </w:hyperlink>
      <w:r>
        <w:rPr>
          <w:rFonts w:ascii="Times New Roman" w:hAnsi="Times New Roman"/>
          <w:b w:val="false"/>
          <w:i w:val="false"/>
          <w:color w:val="000000"/>
          <w:sz w:val="22"/>
        </w:rPr>
        <w:t>, Abrufdatum: 2025-01-29</w:t>
      </w:r>
    </w:p>
    <w:p>
      <w:pPr>
        <w:numPr>
          <w:ilvl w:val="0"/>
          <w:numId w:val="48"/>
        </w:numPr>
        <w:spacing w:before="0" w:after="0"/>
        <w:jc w:val="left"/>
      </w:pPr>
      <w:r>
        <w:rPr>
          <w:rFonts w:ascii="Times New Roman" w:hAnsi="Times New Roman"/>
          <w:b w:val="false"/>
          <w:i w:val="false"/>
          <w:color w:val="000000"/>
          <w:sz w:val="22"/>
        </w:rPr>
        <w:t xml:space="preserve">Überwachungsstelle des Bundes für Barrierefreiheit von Informationstechnik. Arbeitsgruppen des Ausschusses für barrierefreie Informationstechnik. URL: </w:t>
      </w:r>
      <w:hyperlink r:id="rId57">
        <w:r>
          <w:rPr>
            <w:rFonts w:ascii="Times New Roman" w:hAnsi="Times New Roman"/>
            <w:b w:val="false"/>
            <w:i w:val="false"/>
            <w:color w:val="0000ff"/>
            <w:sz w:val="22"/>
            <w:u w:val="single"/>
          </w:rPr>
          <w:t>https://www.bfit-bund.de/DE/Ausschuss/Arbeitsgruppen/arbeitsgruppen_node.html</w:t>
        </w:r>
      </w:hyperlink>
      <w:r>
        <w:rPr>
          <w:rFonts w:ascii="Times New Roman" w:hAnsi="Times New Roman"/>
          <w:b w:val="false"/>
          <w:i w:val="false"/>
          <w:color w:val="000000"/>
          <w:sz w:val="22"/>
        </w:rPr>
        <w:t>, Abrufdatum: 2025-06-04</w:t>
      </w:r>
    </w:p>
    <w:p>
      <w:pPr>
        <w:numPr>
          <w:ilvl w:val="0"/>
          <w:numId w:val="48"/>
        </w:numPr>
        <w:spacing w:before="0" w:after="0"/>
        <w:jc w:val="left"/>
      </w:pPr>
      <w:r>
        <w:rPr>
          <w:rFonts w:ascii="Times New Roman" w:hAnsi="Times New Roman"/>
          <w:b w:val="false"/>
          <w:i w:val="false"/>
          <w:color w:val="000000"/>
          <w:sz w:val="22"/>
        </w:rPr>
        <w:t xml:space="preserve">Überwachungsstelle des Bundes für Barrierefreiheit von Informationstechnik. Ausschuss für barrierefreie Informationstechnik. URL: </w:t>
      </w:r>
      <w:hyperlink r:id="rId58">
        <w:r>
          <w:rPr>
            <w:rFonts w:ascii="Times New Roman" w:hAnsi="Times New Roman"/>
            <w:b w:val="false"/>
            <w:i w:val="false"/>
            <w:color w:val="0000ff"/>
            <w:sz w:val="22"/>
            <w:u w:val="single"/>
          </w:rPr>
          <w:t>https://www.bfit-bund.de/DE/Ausschuss/ausschuss-barrierefreie-informationstechnik.html</w:t>
        </w:r>
      </w:hyperlink>
      <w:r>
        <w:rPr>
          <w:rFonts w:ascii="Times New Roman" w:hAnsi="Times New Roman"/>
          <w:b w:val="false"/>
          <w:i w:val="false"/>
          <w:color w:val="000000"/>
          <w:sz w:val="22"/>
        </w:rPr>
        <w:t>, Abrufdatum: 2025-06-04</w:t>
      </w:r>
    </w:p>
    <w:p>
      <w:pPr>
        <w:numPr>
          <w:ilvl w:val="0"/>
          <w:numId w:val="48"/>
        </w:numPr>
        <w:spacing w:before="0" w:after="0"/>
        <w:jc w:val="left"/>
      </w:pPr>
      <w:r>
        <w:rPr>
          <w:rFonts w:ascii="Times New Roman" w:hAnsi="Times New Roman"/>
          <w:b w:val="false"/>
          <w:i w:val="false"/>
          <w:color w:val="000000"/>
          <w:sz w:val="22"/>
        </w:rPr>
        <w:t xml:space="preserve">Portal Destatis des Statistischen Bundesamtes. Hochschulen nach Hochschularten. URL: </w:t>
      </w:r>
      <w:hyperlink r:id="rId59">
        <w:r>
          <w:rPr>
            <w:rFonts w:ascii="Times New Roman" w:hAnsi="Times New Roman"/>
            <w:b w:val="false"/>
            <w:i w:val="false"/>
            <w:color w:val="0000ff"/>
            <w:sz w:val="22"/>
            <w:u w:val="single"/>
          </w:rPr>
          <w:t>https://www.destatis.de/DE/Themen/Gesellschaft-Umwelt/Bildung-Forschung-Kultur/Hochschulen/Tabellen/hochschulen-hochschularten.html</w:t>
        </w:r>
      </w:hyperlink>
      <w:r>
        <w:rPr>
          <w:rFonts w:ascii="Times New Roman" w:hAnsi="Times New Roman"/>
          <w:b w:val="false"/>
          <w:i w:val="false"/>
          <w:color w:val="000000"/>
          <w:sz w:val="22"/>
        </w:rPr>
        <w:t xml:space="preserve"> (Stand 2025-03-31), Abrufdatum 2025-01-29</w:t>
      </w:r>
    </w:p>
    <w:p>
      <w:pPr>
        <w:numPr>
          <w:ilvl w:val="0"/>
          <w:numId w:val="48"/>
        </w:numPr>
        <w:spacing w:before="0" w:after="0"/>
        <w:jc w:val="left"/>
      </w:pPr>
      <w:r>
        <w:rPr>
          <w:rFonts w:ascii="Times New Roman" w:hAnsi="Times New Roman"/>
          <w:b w:val="false"/>
          <w:i w:val="false"/>
          <w:color w:val="000000"/>
          <w:sz w:val="22"/>
        </w:rPr>
        <w:t xml:space="preserve">Datenportal des BMFTR. Tabelle 2.5.1 Hochschulen nach Hochschularten und Ländern. URL: </w:t>
      </w:r>
      <w:hyperlink r:id="rId60">
        <w:r>
          <w:rPr>
            <w:rFonts w:ascii="Times New Roman" w:hAnsi="Times New Roman"/>
            <w:b w:val="false"/>
            <w:i w:val="false"/>
            <w:color w:val="0000ff"/>
            <w:sz w:val="22"/>
            <w:u w:val="single"/>
          </w:rPr>
          <w:t>https://www.datenportal.bmbf.de/portal/de/Tabelle-2.5.1.html?qw=Hochschulen</w:t>
        </w:r>
      </w:hyperlink>
      <w:r>
        <w:rPr>
          <w:rFonts w:ascii="Times New Roman" w:hAnsi="Times New Roman"/>
          <w:b w:val="false"/>
          <w:i w:val="false"/>
          <w:color w:val="000000"/>
          <w:sz w:val="22"/>
        </w:rPr>
        <w:t xml:space="preserve"> (Stand 2024-08-12), Abrufdatum 2025-07-09. </w:t>
      </w:r>
      <w:hyperlink r:id="rId61">
        <w:r>
          <w:rPr>
            <w:rFonts w:ascii="Times New Roman" w:hAnsi="Times New Roman"/>
            <w:b w:val="false"/>
            <w:i w:val="false"/>
            <w:color w:val="0000ff"/>
            <w:sz w:val="22"/>
            <w:u w:val="single"/>
          </w:rPr>
          <w:t>Datenlizenz Deutschland Namensnennung 2.0</w:t>
        </w:r>
      </w:hyperlink>
      <w:r>
        <w:rPr>
          <w:rFonts w:ascii="Times New Roman" w:hAnsi="Times New Roman"/>
          <w:b w:val="false"/>
          <w:i w:val="false"/>
          <w:color w:val="000000"/>
          <w:sz w:val="22"/>
        </w:rPr>
        <w:t xml:space="preserve"> </w:t>
      </w:r>
      <w:hyperlink r:id="rId62">
        <w:r>
          <w:rPr>
            <w:rFonts w:ascii="Times New Roman" w:hAnsi="Times New Roman"/>
            <w:b w:val="false"/>
            <w:i w:val="false"/>
            <w:color w:val="0000ff"/>
            <w:sz w:val="22"/>
            <w:u w:val="single"/>
          </w:rPr>
          <w:t>Datenlizenz Deutschland Namensnennung 2.0</w:t>
        </w:r>
      </w:hyperlink>
      <w:r>
        <w:rPr>
          <w:rFonts w:ascii="Times New Roman" w:hAnsi="Times New Roman"/>
          <w:b w:val="false"/>
          <w:i w:val="false"/>
          <w:color w:val="000000"/>
          <w:sz w:val="22"/>
        </w:rPr>
        <w:t xml:space="preserve"> </w:t>
      </w:r>
      <w:hyperlink w:anchor="42a5d9a89ea7e6eb69ca79229446c0a1">
        <w:r>
          <w:rPr>
            <w:rFonts w:ascii="Times New Roman" w:hAnsi="Times New Roman"/>
            <w:b w:val="false"/>
            <w:i w:val="false"/>
            <w:color w:val="0000ff"/>
            <w:sz w:val="22"/>
            <w:u w:val="single"/>
          </w:rPr>
          <w:t/>
        </w:r>
        <w:r>
          <w:rPr>
            <w:rFonts w:ascii="Times New Roman" w:hAnsi="Times New Roman"/>
            <w:b w:val="false"/>
            <w:i w:val="false"/>
            <w:color w:val="0000ff"/>
            <w:sz w:val="18"/>
            <w:u w:val="single"/>
          </w:rPr>
          <w:t>[Quelle\ 10]</w:t>
        </w:r>
      </w:hyperlink>
      <w:r>
        <w:rPr>
          <w:rFonts w:ascii="Times New Roman" w:hAnsi="Times New Roman"/>
          <w:b w:val="false"/>
          <w:i w:val="false"/>
          <w:color w:val="000000"/>
          <w:sz w:val="22"/>
        </w:rPr>
        <w:t xml:space="preserve"> Datenportal des BMFTR. Tabelle 2.5.1 Hochschulen nach Hochschularten und Ländern. URL: </w:t>
      </w:r>
      <w:hyperlink r:id="rId63">
        <w:r>
          <w:rPr>
            <w:rFonts w:ascii="Times New Roman" w:hAnsi="Times New Roman"/>
            <w:b w:val="false"/>
            <w:i w:val="false"/>
            <w:color w:val="0000ff"/>
            <w:sz w:val="22"/>
            <w:u w:val="single"/>
          </w:rPr>
          <w:t>https://www.datenportal.bmbf.de/portal/de/Tabelle-2.5.1.html?qw=Hochschulen</w:t>
        </w:r>
      </w:hyperlink>
      <w:r>
        <w:rPr>
          <w:rFonts w:ascii="Times New Roman" w:hAnsi="Times New Roman"/>
          <w:b w:val="false"/>
          <w:i w:val="false"/>
          <w:color w:val="000000"/>
          <w:sz w:val="22"/>
        </w:rPr>
        <w:t xml:space="preserve"> (Stand 2024-08-12), Abrufdatum 2025-07-09. </w:t>
      </w:r>
      <w:hyperlink r:id="rId64">
        <w:r>
          <w:rPr>
            <w:rFonts w:ascii="Times New Roman" w:hAnsi="Times New Roman"/>
            <w:b w:val="false"/>
            <w:i w:val="false"/>
            <w:color w:val="0000ff"/>
            <w:sz w:val="22"/>
            <w:u w:val="single"/>
          </w:rPr>
          <w:t>Datenlizenz Deutschland Namensnennung 2.0</w:t>
        </w:r>
      </w:hyperlink>
    </w:p>
    <w:bookmarkStart w:name="ce194ead1ffcde81e0e4f160f5539a3d" w:id="55"/>
    <w:p>
      <w:pPr>
        <w:pStyle w:val="Heading2"/>
        <w:spacing w:before="199" w:after="199"/>
        <w:ind w:left="120"/>
        <w:jc w:val="left"/>
      </w:pPr>
      <w:r>
        <w:rPr>
          <w:rFonts w:ascii="Times New Roman" w:hAnsi="Times New Roman"/>
          <w:color w:val="000000"/>
        </w:rPr>
        <w:t>Links zu weiterführenden Informationen</w:t>
      </w:r>
    </w:p>
    <w:bookmarkEnd w:id="55"/>
    <w:p>
      <w:pPr>
        <w:numPr>
          <w:ilvl w:val="0"/>
          <w:numId w:val="49"/>
        </w:numPr>
        <w:spacing w:before="0" w:after="0"/>
        <w:jc w:val="left"/>
      </w:pPr>
      <w:r>
        <w:rPr>
          <w:rFonts w:ascii="Times New Roman" w:hAnsi="Times New Roman"/>
          <w:b w:val="false"/>
          <w:i w:val="false"/>
          <w:color w:val="000000"/>
          <w:sz w:val="22"/>
        </w:rPr>
        <w:t xml:space="preserve">Portal Gesetze im Internet des BMJV und des BfJ. Gesetz zur Gleichstellung von Menschen mit Behinderungen (BGG). URL: </w:t>
      </w:r>
      <w:hyperlink r:id="rId65">
        <w:r>
          <w:rPr>
            <w:rFonts w:ascii="Times New Roman" w:hAnsi="Times New Roman"/>
            <w:b w:val="false"/>
            <w:i w:val="false"/>
            <w:color w:val="0000ff"/>
            <w:sz w:val="22"/>
            <w:u w:val="single"/>
          </w:rPr>
          <w:t>https://www.gesetze-im-internet.de/bgg/BJNR146800002.html</w:t>
        </w:r>
      </w:hyperlink>
      <w:r>
        <w:rPr>
          <w:rFonts w:ascii="Times New Roman" w:hAnsi="Times New Roman"/>
          <w:b w:val="false"/>
          <w:i w:val="false"/>
          <w:color w:val="000000"/>
          <w:sz w:val="22"/>
        </w:rPr>
        <w:t xml:space="preserve"> (Stand 2022-05-23), Abrufdatum 2026-02-27</w:t>
      </w:r>
    </w:p>
    <w:p>
      <w:pPr>
        <w:numPr>
          <w:ilvl w:val="0"/>
          <w:numId w:val="49"/>
        </w:numPr>
        <w:spacing w:before="0" w:after="0"/>
        <w:jc w:val="left"/>
      </w:pPr>
      <w:r>
        <w:rPr>
          <w:rFonts w:ascii="Times New Roman" w:hAnsi="Times New Roman"/>
          <w:b w:val="false"/>
          <w:i w:val="false"/>
          <w:color w:val="000000"/>
          <w:sz w:val="22"/>
        </w:rPr>
        <w:t xml:space="preserve">Portal Gesetze im Internet des BMJV und des BfJ. Verordnung zur Schaffung barrierefreier Informationstechnik nach dem Behindertengleichstellungsgesetz (BITV). URL: </w:t>
      </w:r>
      <w:hyperlink r:id="rId66">
        <w:r>
          <w:rPr>
            <w:rFonts w:ascii="Times New Roman" w:hAnsi="Times New Roman"/>
            <w:b w:val="false"/>
            <w:i w:val="false"/>
            <w:color w:val="0000ff"/>
            <w:sz w:val="22"/>
            <w:u w:val="single"/>
          </w:rPr>
          <w:t>https://www.gesetze-im-internet.de/bitv_2_0/BJNR184300011.html</w:t>
        </w:r>
      </w:hyperlink>
      <w:r>
        <w:rPr>
          <w:rFonts w:ascii="Times New Roman" w:hAnsi="Times New Roman"/>
          <w:b w:val="false"/>
          <w:i w:val="false"/>
          <w:color w:val="000000"/>
          <w:sz w:val="22"/>
        </w:rPr>
        <w:t xml:space="preserve"> (Stand 2023-10-24), Abrufdatum 2026-02-27</w:t>
      </w:r>
    </w:p>
    <w:p>
      <w:pPr>
        <w:numPr>
          <w:ilvl w:val="0"/>
          <w:numId w:val="49"/>
        </w:numPr>
        <w:spacing w:before="0" w:after="0"/>
        <w:jc w:val="left"/>
      </w:pPr>
      <w:r>
        <w:rPr>
          <w:rFonts w:ascii="Times New Roman" w:hAnsi="Times New Roman"/>
          <w:b w:val="false"/>
          <w:i w:val="false"/>
          <w:color w:val="000000"/>
          <w:sz w:val="22"/>
        </w:rPr>
        <w:t xml:space="preserve">Portal Gesetze im Internet des BMJV und des BfJ. Sozialgesetzbuch Neuntes Buch – Rehabilitation und Teilhabe von Menschen mit Behinderungen (SGB IX). URL: </w:t>
      </w:r>
      <w:hyperlink r:id="rId67">
        <w:r>
          <w:rPr>
            <w:rFonts w:ascii="Times New Roman" w:hAnsi="Times New Roman"/>
            <w:b w:val="false"/>
            <w:i w:val="false"/>
            <w:color w:val="0000ff"/>
            <w:sz w:val="22"/>
            <w:u w:val="single"/>
          </w:rPr>
          <w:t>https://www.gesetze-im-internet.de/sgb_9_2018/BJNR323410016.html</w:t>
        </w:r>
      </w:hyperlink>
      <w:r>
        <w:rPr>
          <w:rFonts w:ascii="Times New Roman" w:hAnsi="Times New Roman"/>
          <w:b w:val="false"/>
          <w:i w:val="false"/>
          <w:color w:val="000000"/>
          <w:sz w:val="22"/>
        </w:rPr>
        <w:t xml:space="preserve"> (Stand 2026-01-16), Abrufdatum 2026-02-27</w:t>
      </w:r>
    </w:p>
    <w:p>
      <w:pPr>
        <w:numPr>
          <w:ilvl w:val="0"/>
          <w:numId w:val="49"/>
        </w:numPr>
        <w:spacing w:before="0" w:after="0"/>
        <w:jc w:val="left"/>
      </w:pPr>
      <w:r>
        <w:rPr>
          <w:rFonts w:ascii="Times New Roman" w:hAnsi="Times New Roman"/>
          <w:b w:val="false"/>
          <w:i w:val="false"/>
          <w:color w:val="000000"/>
          <w:sz w:val="22"/>
        </w:rPr>
        <w:t xml:space="preserve">Überwachungsstelle des Bundes für Barrierefreiheit von Informationstechnik. Barrierefreie Dokumente in Lernkontexten. URL: </w:t>
      </w:r>
      <w:hyperlink r:id="rId68">
        <w:r>
          <w:rPr>
            <w:rFonts w:ascii="Times New Roman" w:hAnsi="Times New Roman"/>
            <w:b w:val="false"/>
            <w:i w:val="false"/>
            <w:color w:val="0000ff"/>
            <w:sz w:val="22"/>
            <w:u w:val="single"/>
          </w:rPr>
          <w:t>https://handreichungen.bfit-bund.de/bf-dokumente-lernkontext/</w:t>
        </w:r>
      </w:hyperlink>
      <w:r>
        <w:rPr>
          <w:rFonts w:ascii="Times New Roman" w:hAnsi="Times New Roman"/>
          <w:b w:val="false"/>
          <w:i w:val="false"/>
          <w:color w:val="000000"/>
          <w:sz w:val="22"/>
        </w:rPr>
        <w:t xml:space="preserve"> (2025-07-16), Abrufdatum 2026-02-27</w:t>
      </w:r>
    </w:p>
    <w:p>
      <w:pPr>
        <w:numPr>
          <w:ilvl w:val="0"/>
          <w:numId w:val="49"/>
        </w:numPr>
        <w:spacing w:before="0" w:after="0"/>
        <w:jc w:val="left"/>
      </w:pPr>
      <w:r>
        <w:rPr>
          <w:rFonts w:ascii="Times New Roman" w:hAnsi="Times New Roman"/>
          <w:b w:val="false"/>
          <w:i w:val="false"/>
          <w:color w:val="000000"/>
          <w:sz w:val="22"/>
        </w:rPr>
        <w:t xml:space="preserve">Überwachungsstelle des Bundes für Barrierefreiheit von Informationstechnik. Infos zur Barrierefreiheit von Lernplattformen. URL: </w:t>
      </w:r>
      <w:hyperlink r:id="rId69">
        <w:r>
          <w:rPr>
            <w:rFonts w:ascii="Times New Roman" w:hAnsi="Times New Roman"/>
            <w:b w:val="false"/>
            <w:i w:val="false"/>
            <w:color w:val="0000ff"/>
            <w:sz w:val="22"/>
            <w:u w:val="single"/>
          </w:rPr>
          <w:t>https://handreichungen.bfit-bund.de/lms-handreichung/</w:t>
        </w:r>
      </w:hyperlink>
      <w:r>
        <w:rPr>
          <w:rFonts w:ascii="Times New Roman" w:hAnsi="Times New Roman"/>
          <w:b w:val="false"/>
          <w:i w:val="false"/>
          <w:color w:val="000000"/>
          <w:sz w:val="22"/>
        </w:rPr>
        <w:t xml:space="preserve"> (Stand Version 1.0), Abrufdatum 2026-02-27</w:t>
      </w:r>
    </w:p>
    <w:p>
      <w:pPr>
        <w:numPr>
          <w:ilvl w:val="0"/>
          <w:numId w:val="49"/>
        </w:numPr>
        <w:spacing w:before="0" w:after="0"/>
        <w:jc w:val="left"/>
      </w:pPr>
      <w:r>
        <w:rPr>
          <w:rFonts w:ascii="Times New Roman" w:hAnsi="Times New Roman"/>
          <w:b w:val="false"/>
          <w:i w:val="false"/>
          <w:color w:val="000000"/>
          <w:sz w:val="22"/>
        </w:rPr>
        <w:t xml:space="preserve">Überwachungsstelle des Bundes für Barrierefreiheit von Informationstechnik. Leitfaden zum Vergabeprozess. URL: </w:t>
      </w:r>
      <w:hyperlink r:id="rId70">
        <w:r>
          <w:rPr>
            <w:rFonts w:ascii="Times New Roman" w:hAnsi="Times New Roman"/>
            <w:b w:val="false"/>
            <w:i w:val="false"/>
            <w:color w:val="0000ff"/>
            <w:sz w:val="22"/>
            <w:u w:val="single"/>
          </w:rPr>
          <w:t>https://handreichungen.bfit-bund.de/leitfaden-vergabeprozess/</w:t>
        </w:r>
      </w:hyperlink>
      <w:r>
        <w:rPr>
          <w:rFonts w:ascii="Times New Roman" w:hAnsi="Times New Roman"/>
          <w:b w:val="false"/>
          <w:i w:val="false"/>
          <w:color w:val="000000"/>
          <w:sz w:val="22"/>
        </w:rPr>
        <w:t xml:space="preserve"> (Stand 2023-10-16), Abrufdatum 2026-02-27</w:t>
      </w:r>
    </w:p>
    <w:p>
      <w:pPr>
        <w:numPr>
          <w:ilvl w:val="0"/>
          <w:numId w:val="49"/>
        </w:numPr>
        <w:spacing w:before="0" w:after="0"/>
        <w:jc w:val="left"/>
      </w:pPr>
      <w:r>
        <w:rPr>
          <w:rFonts w:ascii="Times New Roman" w:hAnsi="Times New Roman"/>
          <w:b w:val="false"/>
          <w:i w:val="false"/>
          <w:color w:val="000000"/>
          <w:sz w:val="22"/>
        </w:rPr>
        <w:t xml:space="preserve">Hochschulinitiative digitale Barrierefreiheit für Alle (SHUFFLE). SHUFFLE-Reifegradmodell. URL: </w:t>
      </w:r>
      <w:hyperlink r:id="rId71">
        <w:r>
          <w:rPr>
            <w:rFonts w:ascii="Times New Roman" w:hAnsi="Times New Roman"/>
            <w:b w:val="false"/>
            <w:i w:val="false"/>
            <w:color w:val="0000ff"/>
            <w:sz w:val="22"/>
            <w:u w:val="single"/>
          </w:rPr>
          <w:t>https://shuffle-projekt.de/shuffle-reifegradmodell/</w:t>
        </w:r>
      </w:hyperlink>
      <w:r>
        <w:rPr>
          <w:rFonts w:ascii="Times New Roman" w:hAnsi="Times New Roman"/>
          <w:b w:val="false"/>
          <w:i w:val="false"/>
          <w:color w:val="000000"/>
          <w:sz w:val="22"/>
        </w:rPr>
        <w:t>, Abrufdatum 2026-02-27</w:t>
      </w:r>
    </w:p>
    <w:bookmarkStart w:name="0c8a60377ac078bd19988fb491f13140" w:id="56"/>
    <w:p>
      <w:pPr>
        <w:pStyle w:val="Heading1"/>
        <w:spacing w:before="180" w:after="180"/>
        <w:ind w:left="120"/>
        <w:jc w:val="left"/>
      </w:pPr>
      <w:r>
        <w:rPr>
          <w:rFonts w:ascii="Times New Roman" w:hAnsi="Times New Roman"/>
          <w:color w:val="000000"/>
          <w:sz w:val="33"/>
        </w:rPr>
        <w:t>Anhang C: Mitwirkende dieser Publikation</w:t>
      </w:r>
    </w:p>
    <w:bookmarkEnd w:id="56"/>
    <w:p>
      <w:pPr>
        <w:spacing w:before="269" w:after="269"/>
        <w:ind w:left="120"/>
        <w:jc w:val="left"/>
      </w:pPr>
      <w:hyperlink r:id="rId72">
        <w:r>
          <w:rPr>
            <w:rFonts w:ascii="Times New Roman" w:hAnsi="Times New Roman"/>
            <w:b w:val="false"/>
            <w:i w:val="false"/>
            <w:color w:val="0000ff"/>
            <w:sz w:val="22"/>
            <w:u w:val="single"/>
          </w:rPr>
          <w:t>Online betrachten</w:t>
        </w:r>
      </w:hyperlink>
    </w:p>
    <w:bookmarkStart w:name="dad32e265269e876aa84fa13900ab63f" w:id="57"/>
    <w:p>
      <w:pPr>
        <w:pStyle w:val="Heading2"/>
        <w:spacing w:before="199" w:after="199"/>
        <w:ind w:left="120"/>
        <w:jc w:val="left"/>
      </w:pPr>
      <w:r>
        <w:rPr>
          <w:rFonts w:ascii="Times New Roman" w:hAnsi="Times New Roman"/>
          <w:color w:val="000000"/>
        </w:rPr>
        <w:t>Autorenschaft</w:t>
      </w:r>
    </w:p>
    <w:bookmarkEnd w:id="57"/>
    <w:p>
      <w:pPr>
        <w:spacing w:before="269" w:after="269"/>
        <w:ind w:left="120"/>
        <w:jc w:val="left"/>
      </w:pPr>
      <w:r>
        <w:rPr>
          <w:rFonts w:ascii="Times New Roman" w:hAnsi="Times New Roman"/>
          <w:b w:val="false"/>
          <w:i w:val="false"/>
          <w:color w:val="000000"/>
          <w:sz w:val="22"/>
        </w:rPr>
        <w:t>Diese Publikation wurde von den Mitgliedern der Taskforce B der BFIT-Bund AG Barrierefreie Hochschulen verfasst:</w:t>
      </w:r>
    </w:p>
    <w:p>
      <w:pPr>
        <w:numPr>
          <w:ilvl w:val="0"/>
          <w:numId w:val="50"/>
        </w:numPr>
        <w:spacing w:before="0" w:after="0"/>
        <w:jc w:val="left"/>
      </w:pPr>
      <w:r>
        <w:rPr>
          <w:rFonts w:ascii="Times New Roman" w:hAnsi="Times New Roman"/>
          <w:b w:val="false"/>
          <w:i w:val="false"/>
          <w:color w:val="000000"/>
          <w:sz w:val="22"/>
        </w:rPr>
        <w:t>Alexander Pfingstl (Überwachungsstelle des Bundes für Barrierefreiheit von Informationstechnik)</w:t>
      </w:r>
    </w:p>
    <w:p>
      <w:pPr>
        <w:numPr>
          <w:ilvl w:val="0"/>
          <w:numId w:val="50"/>
        </w:numPr>
        <w:spacing w:before="0" w:after="0"/>
        <w:jc w:val="left"/>
      </w:pPr>
      <w:r>
        <w:rPr>
          <w:rFonts w:ascii="Times New Roman" w:hAnsi="Times New Roman"/>
          <w:b w:val="false"/>
          <w:i w:val="false"/>
          <w:color w:val="000000"/>
          <w:sz w:val="22"/>
        </w:rPr>
        <w:t>Anne Groß (Hochschule für Technik, Wirtschaft und Kultur Leipzig)</w:t>
      </w:r>
    </w:p>
    <w:p>
      <w:pPr>
        <w:numPr>
          <w:ilvl w:val="0"/>
          <w:numId w:val="50"/>
        </w:numPr>
        <w:spacing w:before="0" w:after="0"/>
        <w:jc w:val="left"/>
      </w:pPr>
      <w:r>
        <w:rPr>
          <w:rFonts w:ascii="Times New Roman" w:hAnsi="Times New Roman"/>
          <w:b w:val="false"/>
          <w:i w:val="false"/>
          <w:color w:val="000000"/>
          <w:sz w:val="22"/>
        </w:rPr>
        <w:t>Christin Sandmann-Götz (Universität Bielefeld)</w:t>
      </w:r>
    </w:p>
    <w:p>
      <w:pPr>
        <w:numPr>
          <w:ilvl w:val="0"/>
          <w:numId w:val="50"/>
        </w:numPr>
        <w:spacing w:before="0" w:after="0"/>
        <w:jc w:val="left"/>
      </w:pPr>
      <w:r>
        <w:rPr>
          <w:rFonts w:ascii="Times New Roman" w:hAnsi="Times New Roman"/>
          <w:b w:val="false"/>
          <w:i w:val="false"/>
          <w:color w:val="000000"/>
          <w:sz w:val="22"/>
        </w:rPr>
        <w:t>Dr. Julia Dobroschke (Deutsches Zentrum für barrierefreies Lesen)</w:t>
      </w:r>
    </w:p>
    <w:p>
      <w:pPr>
        <w:numPr>
          <w:ilvl w:val="0"/>
          <w:numId w:val="50"/>
        </w:numPr>
        <w:spacing w:before="0" w:after="0"/>
        <w:jc w:val="left"/>
      </w:pPr>
      <w:r>
        <w:rPr>
          <w:rFonts w:ascii="Times New Roman" w:hAnsi="Times New Roman"/>
          <w:b w:val="false"/>
          <w:i w:val="false"/>
          <w:color w:val="000000"/>
          <w:sz w:val="22"/>
        </w:rPr>
        <w:t>Dr. Leevke Wilkens (Technische Universität Dortmund)</w:t>
      </w:r>
    </w:p>
    <w:p>
      <w:pPr>
        <w:numPr>
          <w:ilvl w:val="0"/>
          <w:numId w:val="50"/>
        </w:numPr>
        <w:spacing w:before="0" w:after="0"/>
        <w:jc w:val="left"/>
      </w:pPr>
      <w:r>
        <w:rPr>
          <w:rFonts w:ascii="Times New Roman" w:hAnsi="Times New Roman"/>
          <w:b w:val="false"/>
          <w:i w:val="false"/>
          <w:color w:val="000000"/>
          <w:sz w:val="22"/>
        </w:rPr>
        <w:t>Michael Wahl (Überwachungsstelle des Bundes für Barrierefreiheit von Informationstechnik)</w:t>
      </w:r>
    </w:p>
    <w:p>
      <w:pPr>
        <w:numPr>
          <w:ilvl w:val="0"/>
          <w:numId w:val="50"/>
        </w:numPr>
        <w:spacing w:before="0" w:after="0"/>
        <w:jc w:val="left"/>
      </w:pPr>
      <w:r>
        <w:rPr>
          <w:rFonts w:ascii="Times New Roman" w:hAnsi="Times New Roman"/>
          <w:b w:val="false"/>
          <w:i w:val="false"/>
          <w:color w:val="000000"/>
          <w:sz w:val="22"/>
        </w:rPr>
        <w:t>Sarah Bohnert (Deutsches Zentrum für barrierefreies Lesen)</w:t>
      </w:r>
    </w:p>
    <w:p>
      <w:pPr>
        <w:numPr>
          <w:ilvl w:val="0"/>
          <w:numId w:val="50"/>
        </w:numPr>
        <w:spacing w:before="0" w:after="0"/>
        <w:jc w:val="left"/>
      </w:pPr>
      <w:r>
        <w:rPr>
          <w:rFonts w:ascii="Times New Roman" w:hAnsi="Times New Roman"/>
          <w:b w:val="false"/>
          <w:i w:val="false"/>
          <w:color w:val="000000"/>
          <w:sz w:val="22"/>
        </w:rPr>
        <w:t>Prof. Dr. Ulrich Nikolaus (Hochschule für Technik, Wirtschaft und Kultur Leipzig)</w:t>
      </w:r>
    </w:p>
    <w:p>
      <w:pPr>
        <w:numPr>
          <w:ilvl w:val="0"/>
          <w:numId w:val="50"/>
        </w:numPr>
        <w:spacing w:before="0" w:after="0"/>
        <w:jc w:val="left"/>
      </w:pPr>
      <w:r>
        <w:rPr>
          <w:rFonts w:ascii="Times New Roman" w:hAnsi="Times New Roman"/>
          <w:b w:val="false"/>
          <w:i w:val="false"/>
          <w:color w:val="000000"/>
          <w:sz w:val="22"/>
        </w:rPr>
        <w:t>Valérie Wittek (Universität Bielefeld)</w:t>
      </w:r>
    </w:p>
    <w:bookmarkStart w:name="38be7a9d4b6f3799f30e8aa401760a19" w:id="58"/>
    <w:p>
      <w:pPr>
        <w:pStyle w:val="Heading2"/>
        <w:spacing w:before="199" w:after="199"/>
        <w:ind w:left="120"/>
        <w:jc w:val="left"/>
      </w:pPr>
      <w:r>
        <w:rPr>
          <w:rFonts w:ascii="Times New Roman" w:hAnsi="Times New Roman"/>
          <w:color w:val="000000"/>
        </w:rPr>
        <w:t>Danksagung</w:t>
      </w:r>
    </w:p>
    <w:bookmarkEnd w:id="58"/>
    <w:p>
      <w:pPr>
        <w:spacing w:before="269" w:after="269"/>
        <w:ind w:left="120"/>
        <w:jc w:val="left"/>
      </w:pPr>
      <w:r>
        <w:rPr>
          <w:rFonts w:ascii="Times New Roman" w:hAnsi="Times New Roman"/>
          <w:b w:val="false"/>
          <w:i w:val="false"/>
          <w:color w:val="000000"/>
          <w:sz w:val="22"/>
        </w:rPr>
        <w:t>Wir bedanken uns bei Alexa Wunn, Christina Broo, Finnja Lüttmann, Marie Hasselberg und allen weiteren ehemaligen Mitgliedern der Taskforce für ihre Mitarbeit bei der Konzeption, Vorbereitung, Durchführung und Auswertung der Umfrage.</w:t>
      </w:r>
    </w:p>
    <w:p>
      <w:pPr>
        <w:spacing w:before="269" w:after="269"/>
        <w:ind w:left="120"/>
        <w:jc w:val="left"/>
      </w:pPr>
      <w:r>
        <w:rPr>
          <w:rFonts w:ascii="Times New Roman" w:hAnsi="Times New Roman"/>
          <w:b w:val="false"/>
          <w:i w:val="false"/>
          <w:color w:val="000000"/>
          <w:sz w:val="22"/>
        </w:rPr>
        <w:t>Weiterhin gilt ein besonderer Dank Luisa Gregory und Estefanía Velasquez von der Hochschulrektorenkonferenz sowie Jens Kaffenberger und Christine Fromme vom Deutschen Studierendenwerk für ihre Mitwirkung und Unterstützung bei der Verteilung und Bekanntmachung der Umfrage.</w:t>
      </w:r>
    </w:p>
    <w:bookmarkStart w:name="96a8fb37e75820f8ca4f1df9a5f14ca7" w:id="59"/>
    <w:p>
      <w:pPr>
        <w:pStyle w:val="Heading1"/>
        <w:spacing w:before="180" w:after="180"/>
        <w:ind w:left="120"/>
        <w:jc w:val="left"/>
      </w:pPr>
      <w:r>
        <w:rPr>
          <w:rFonts w:ascii="Times New Roman" w:hAnsi="Times New Roman"/>
          <w:color w:val="000000"/>
          <w:sz w:val="33"/>
        </w:rPr>
        <w:t>Anhang D: Lizenzinformationen für diese Handreichung</w:t>
      </w:r>
    </w:p>
    <w:bookmarkEnd w:id="59"/>
    <w:p>
      <w:pPr>
        <w:spacing w:before="269" w:after="269"/>
        <w:ind w:left="120"/>
        <w:jc w:val="left"/>
      </w:pPr>
      <w:hyperlink r:id="rId73">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 xml:space="preserve">Diese Handreichung wird unter der Lizenz </w:t>
      </w:r>
      <w:hyperlink r:id="rId74">
        <w:r>
          <w:rPr>
            <w:rFonts w:ascii="Times New Roman" w:hAnsi="Times New Roman"/>
            <w:b w:val="false"/>
            <w:i w:val="false"/>
            <w:color w:val="0000ff"/>
            <w:sz w:val="22"/>
            <w:u w:val="single"/>
          </w:rPr>
          <w:t>CC-BY-SA 4.0</w:t>
        </w:r>
      </w:hyperlink>
      <w:r>
        <w:rPr>
          <w:rFonts w:ascii="Times New Roman" w:hAnsi="Times New Roman"/>
          <w:b w:val="false"/>
          <w:i w:val="false"/>
          <w:color w:val="000000"/>
          <w:sz w:val="22"/>
        </w:rPr>
        <w:t xml:space="preserve"> veröffentlicht. Sie können Sie bearbeiten und unter Namensnennung und mit gleicher Lizenz weiterverbreiten. Wenn Sie Teile davon verändern, müssen Sie das entsprechend kennzeichnen.</w:t>
      </w:r>
    </w:p>
    <w:p>
      <w:pPr>
        <w:pStyle w:val="Heading1"/>
        <w:spacing w:before="180" w:after="180"/>
        <w:ind w:left="120"/>
        <w:jc w:val="left"/>
      </w:pPr>
      <w:r>
        <w:rPr>
          <w:rFonts w:ascii="Times New Roman" w:hAnsi="Times New Roman"/>
          <w:color w:val="000000"/>
          <w:sz w:val="33"/>
        </w:rPr>
        <w:t>Informationen zu diesem Dokument</w:t>
      </w:r>
    </w:p>
    <w:p>
      <w:pPr>
        <w:spacing w:before="269" w:after="269"/>
        <w:ind w:left="120"/>
        <w:jc w:val="left"/>
      </w:pPr>
      <w:r>
        <w:rPr>
          <w:rFonts w:ascii="Times New Roman" w:hAnsi="Times New Roman"/>
          <w:b w:val="false"/>
          <w:i w:val="false"/>
          <w:color w:val="000000"/>
          <w:sz w:val="22"/>
        </w:rPr>
        <w:t>Diese Handreichung hat die Version 1.0 und wurde am 31.08.2026 veröffentlicht.</w:t>
      </w:r>
    </w:p>
    <w:p>
      <w:pPr>
        <w:pStyle w:val="Heading2"/>
        <w:spacing w:before="199" w:after="199"/>
        <w:ind w:left="120"/>
        <w:jc w:val="left"/>
      </w:pPr>
      <w:r>
        <w:rPr>
          <w:rFonts w:ascii="Times New Roman" w:hAnsi="Times New Roman"/>
          <w:color w:val="000000"/>
        </w:rPr>
        <w:t>Allgemeine Informationspflichten gemäß § 5 Telemediengesetz und § 55 Rundfunkstaatsvertrag</w:t>
      </w:r>
    </w:p>
    <w:p>
      <w:pPr>
        <w:spacing w:before="269" w:after="269"/>
        <w:ind w:left="120"/>
        <w:jc w:val="left"/>
      </w:pPr>
      <w:r>
        <w:rPr>
          <w:rFonts w:ascii="Times New Roman" w:hAnsi="Times New Roman"/>
          <w:b w:val="false"/>
          <w:i w:val="false"/>
          <w:color w:val="000000"/>
          <w:sz w:val="22"/>
        </w:rPr>
        <w:t>Die Deutsche Rentenversicherung Knappschaft-Bahn-See ist eine rechtsfähige Körperschaft des öffentlichen Rechts mit Selbstverwaltung und besitzt Dienstherrnfähigkeit (§ 29 SGB IV in Verbindung mit § 143 Abs. 1 SGB VI).</w:t>
      </w:r>
    </w:p>
    <w:p>
      <w:pPr>
        <w:spacing w:before="269" w:after="269"/>
        <w:ind w:left="120"/>
        <w:jc w:val="left"/>
      </w:pPr>
      <w:r>
        <w:rPr>
          <w:rFonts w:ascii="Times New Roman" w:hAnsi="Times New Roman"/>
          <w:b w:val="false"/>
          <w:i w:val="false"/>
          <w:color w:val="000000"/>
          <w:sz w:val="22"/>
        </w:rPr>
        <w:t>Dieses Impressum gilt für dieses Dokument der Arbeitsgruppen des Ausschusses für barrierefreie Informationstechnik nach § 5 BITV 2.0. Die Arbeitsgruppen werden von der Überwachungsstelle des Bundes für Barrierefreiheit von Informationstechnik organisiert.</w:t>
      </w:r>
    </w:p>
    <w:p>
      <w:pPr>
        <w:pStyle w:val="Heading2"/>
        <w:spacing w:before="199" w:after="199"/>
        <w:ind w:left="120"/>
        <w:jc w:val="left"/>
      </w:pPr>
      <w:r>
        <w:rPr>
          <w:rFonts w:ascii="Times New Roman" w:hAnsi="Times New Roman"/>
          <w:color w:val="000000"/>
        </w:rPr>
        <w:t>Herausgeber</w:t>
      </w:r>
    </w:p>
    <w:p>
      <w:pPr>
        <w:spacing w:before="269" w:after="269"/>
        <w:ind w:left="120"/>
        <w:jc w:val="left"/>
      </w:pPr>
      <w:r>
        <w:rPr>
          <w:rFonts w:ascii="Times New Roman" w:hAnsi="Times New Roman"/>
          <w:b w:val="false"/>
          <w:i w:val="false"/>
          <w:color w:val="000000"/>
          <w:sz w:val="22"/>
        </w:rPr>
        <w:t>Deutsche Rentenversicherung Knappschaft-Bahn-See</w:t>
      </w:r>
    </w:p>
    <w:p>
      <w:pPr>
        <w:spacing w:before="269" w:after="269"/>
        <w:ind w:left="120"/>
        <w:jc w:val="left"/>
      </w:pPr>
      <w:r>
        <w:rPr>
          <w:rFonts w:ascii="Times New Roman" w:hAnsi="Times New Roman"/>
          <w:b w:val="false"/>
          <w:i w:val="false"/>
          <w:color w:val="000000"/>
          <w:sz w:val="22"/>
        </w:rPr>
        <w:t>Pieperstraße 14 - 28</w:t>
      </w:r>
    </w:p>
    <w:p>
      <w:pPr>
        <w:spacing w:before="269" w:after="269"/>
        <w:ind w:left="120"/>
        <w:jc w:val="left"/>
      </w:pPr>
      <w:r>
        <w:rPr>
          <w:rFonts w:ascii="Times New Roman" w:hAnsi="Times New Roman"/>
          <w:b w:val="false"/>
          <w:i w:val="false"/>
          <w:color w:val="000000"/>
          <w:sz w:val="22"/>
        </w:rPr>
        <w:t>44789 Bochum</w:t>
      </w:r>
    </w:p>
    <w:p>
      <w:pPr>
        <w:spacing w:before="269" w:after="269"/>
        <w:ind w:left="120"/>
        <w:jc w:val="left"/>
      </w:pPr>
      <w:r>
        <w:rPr>
          <w:rFonts w:ascii="Times New Roman" w:hAnsi="Times New Roman"/>
          <w:b w:val="false"/>
          <w:i w:val="false"/>
          <w:color w:val="000000"/>
          <w:sz w:val="22"/>
        </w:rPr>
        <w:t>Tel. 0234 304 - 0</w:t>
      </w:r>
    </w:p>
    <w:p>
      <w:pPr>
        <w:spacing w:before="269" w:after="269"/>
        <w:ind w:left="120"/>
        <w:jc w:val="left"/>
      </w:pPr>
      <w:r>
        <w:rPr>
          <w:rFonts w:ascii="Times New Roman" w:hAnsi="Times New Roman"/>
          <w:b w:val="false"/>
          <w:i w:val="false"/>
          <w:color w:val="000000"/>
          <w:sz w:val="22"/>
        </w:rPr>
        <w:t>Fax 0234 304 - 66050</w:t>
      </w:r>
    </w:p>
    <w:p>
      <w:pPr>
        <w:spacing w:before="269" w:after="269"/>
        <w:ind w:left="120"/>
        <w:jc w:val="left"/>
      </w:pPr>
      <w:r>
        <w:rPr>
          <w:rFonts w:ascii="Times New Roman" w:hAnsi="Times New Roman"/>
          <w:b w:val="false"/>
          <w:i w:val="false"/>
          <w:color w:val="000000"/>
          <w:sz w:val="22"/>
        </w:rPr>
        <w:t xml:space="preserve">E-Mail an die Zentrale der KBS: </w:t>
      </w:r>
      <w:hyperlink r:id="rId75">
        <w:r>
          <w:rPr>
            <w:rFonts w:ascii="Times New Roman" w:hAnsi="Times New Roman"/>
            <w:b w:val="false"/>
            <w:i w:val="false"/>
            <w:color w:val="0000ff"/>
            <w:sz w:val="22"/>
            <w:u w:val="single"/>
          </w:rPr>
          <w:t>zentrale@kbs.de</w:t>
        </w:r>
      </w:hyperlink>
    </w:p>
    <w:p>
      <w:pPr>
        <w:spacing w:before="269" w:after="269"/>
        <w:ind w:left="120"/>
        <w:jc w:val="left"/>
      </w:pPr>
      <w:r>
        <w:rPr>
          <w:rFonts w:ascii="Times New Roman" w:hAnsi="Times New Roman"/>
          <w:b w:val="false"/>
          <w:i w:val="false"/>
          <w:color w:val="000000"/>
          <w:sz w:val="22"/>
        </w:rPr>
        <w:t>Umsatzsteuer-Identifikationsnummer: DE 124089627</w:t>
      </w:r>
    </w:p>
    <w:p>
      <w:pPr>
        <w:spacing w:before="269" w:after="269"/>
        <w:ind w:left="120"/>
        <w:jc w:val="left"/>
      </w:pPr>
      <w:r>
        <w:rPr>
          <w:rFonts w:ascii="Times New Roman" w:hAnsi="Times New Roman"/>
          <w:b w:val="false"/>
          <w:i w:val="false"/>
          <w:color w:val="000000"/>
          <w:sz w:val="22"/>
        </w:rPr>
        <w:t>Dieses Dokument wird herausgegeben von der Deutschen Rentenversicherung Knappschaft-Bahn-See, vertreten durch die Geschäftsführung, Dr. Rainer Wilhelm.</w:t>
      </w:r>
    </w:p>
    <w:p>
      <w:pPr>
        <w:pStyle w:val="Heading2"/>
        <w:spacing w:before="199" w:after="199"/>
        <w:ind w:left="120"/>
        <w:jc w:val="left"/>
      </w:pPr>
      <w:r>
        <w:rPr>
          <w:rFonts w:ascii="Times New Roman" w:hAnsi="Times New Roman"/>
          <w:color w:val="000000"/>
        </w:rPr>
        <w:t>Zuständige Fachaufsichtsbehörde für die Überwachungsstelle des Bundes für Barrierefreiheit von Informationstechnik</w:t>
      </w:r>
    </w:p>
    <w:p>
      <w:pPr>
        <w:spacing w:before="269" w:after="269"/>
        <w:ind w:left="120"/>
        <w:jc w:val="left"/>
      </w:pPr>
      <w:r>
        <w:rPr>
          <w:rFonts w:ascii="Times New Roman" w:hAnsi="Times New Roman"/>
          <w:b w:val="false"/>
          <w:i w:val="false"/>
          <w:color w:val="000000"/>
          <w:sz w:val="22"/>
        </w:rPr>
        <w:t>Bundesministerium für Arbeit und Soziales</w:t>
      </w:r>
    </w:p>
    <w:p>
      <w:pPr>
        <w:spacing w:before="269" w:after="269"/>
        <w:ind w:left="120"/>
        <w:jc w:val="left"/>
      </w:pPr>
      <w:r>
        <w:rPr>
          <w:rFonts w:ascii="Times New Roman" w:hAnsi="Times New Roman"/>
          <w:b w:val="false"/>
          <w:i w:val="false"/>
          <w:color w:val="000000"/>
          <w:sz w:val="22"/>
        </w:rPr>
        <w:t>Wilhelmstraße 49</w:t>
      </w:r>
    </w:p>
    <w:p>
      <w:pPr>
        <w:spacing w:before="269" w:after="269"/>
        <w:ind w:left="120"/>
        <w:jc w:val="left"/>
      </w:pPr>
      <w:r>
        <w:rPr>
          <w:rFonts w:ascii="Times New Roman" w:hAnsi="Times New Roman"/>
          <w:b w:val="false"/>
          <w:i w:val="false"/>
          <w:color w:val="000000"/>
          <w:sz w:val="22"/>
        </w:rPr>
        <w:t>10117 Berlin</w:t>
      </w:r>
    </w:p>
    <w:p>
      <w:pPr>
        <w:pStyle w:val="Heading2"/>
        <w:spacing w:before="199" w:after="199"/>
        <w:ind w:left="120"/>
        <w:jc w:val="left"/>
      </w:pPr>
      <w:r>
        <w:rPr>
          <w:rFonts w:ascii="Times New Roman" w:hAnsi="Times New Roman"/>
          <w:color w:val="000000"/>
        </w:rPr>
        <w:t>Nutzungsbedingungen</w:t>
      </w:r>
    </w:p>
    <w:p>
      <w:pPr>
        <w:spacing w:before="269" w:after="269"/>
        <w:ind w:left="120"/>
        <w:jc w:val="left"/>
      </w:pPr>
      <w:r>
        <w:rPr>
          <w:rFonts w:ascii="Times New Roman" w:hAnsi="Times New Roman"/>
          <w:b w:val="false"/>
          <w:i w:val="false"/>
          <w:color w:val="000000"/>
          <w:sz w:val="22"/>
        </w:rPr>
        <w:t>Die Inhalte dieser Handreichung werden mit größtmöglicher Sorgfalt verfasst. Unser Anspruch ist es, richtige, vollständige und aktuelle Inhalte bereitzustellen. Wir übernehmen dennoch keine Gewähr für versehentlich gemachte falsche Angaben.</w:t>
      </w:r>
    </w:p>
    <w:p>
      <w:pPr>
        <w:spacing w:before="269" w:after="269"/>
        <w:ind w:left="120"/>
        <w:jc w:val="left"/>
      </w:pPr>
      <w:r>
        <w:rPr>
          <w:rFonts w:ascii="Times New Roman" w:hAnsi="Times New Roman"/>
          <w:b w:val="false"/>
          <w:i w:val="false"/>
          <w:color w:val="000000"/>
          <w:sz w:val="22"/>
        </w:rPr>
        <w:t>Diese Handreichung enthält Verknüpfungen zu Webauftritten Dritter (“externe Links”). Wir haben bei der erstmaligen Verknüpfung zu externen Links die fremden Inhalte daraufhin überprüft, ob etwaige Rechtsverstöße bestehen. Zu diesem Zeitpunkt haben wir keine Rechtsverstöße vorgefunden. Wir haben jedoch weder Einfluss auf die aktuelle und zukünftige Gestaltung der verknüpften Seiten noch auf deren Inhalte oder Angebote. Sollten uns Rechtsverstöße bekannt werden, löschen wir die betreffenden externen Links unverzüglich. Bitte weisen Sie uns gegebenenfalls darauf hin.</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lvl w:ilvl="1">
      <w:start w:val="1"/>
      <w:numFmt w:val="bullet"/>
      <w:lvlText w:val=""/>
      <w:lvlJc w:val="left"/>
      <w:pPr>
        <w:ind w:left="15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abstractNum w:abstractNumId="39">
    <w:multiLevelType w:val="multilevel"/>
    <w:lvl w:ilvl="0">
      <w:start w:val="1"/>
      <w:numFmt w:val="bullet"/>
      <w:lvlText w:val=""/>
      <w:lvlJc w:val="left"/>
      <w:pPr>
        <w:ind w:left="960" w:hanging="360"/>
      </w:pPr>
      <w:rPr>
        <w:rFonts w:hint="default" w:ascii="Symbol" w:hAnsi="Symbol"/>
      </w:rPr>
    </w:lvl>
  </w:abstractNum>
  <w:abstractNum w:abstractNumId="40">
    <w:multiLevelType w:val="multilevel"/>
    <w:lvl w:ilvl="0">
      <w:start w:val="1"/>
      <w:numFmt w:val="bullet"/>
      <w:lvlText w:val=""/>
      <w:lvlJc w:val="left"/>
      <w:pPr>
        <w:ind w:left="960" w:hanging="360"/>
      </w:pPr>
      <w:rPr>
        <w:rFonts w:hint="default" w:ascii="Symbol" w:hAnsi="Symbol"/>
      </w:rPr>
    </w:lvl>
  </w:abstractNum>
  <w:abstractNum w:abstractNumId="41">
    <w:multiLevelType w:val="multilevel"/>
    <w:lvl w:ilvl="0">
      <w:start w:val="1"/>
      <w:numFmt w:val="bullet"/>
      <w:lvlText w:val=""/>
      <w:lvlJc w:val="left"/>
      <w:pPr>
        <w:ind w:left="960" w:hanging="360"/>
      </w:pPr>
      <w:rPr>
        <w:rFonts w:hint="default" w:ascii="Symbol" w:hAnsi="Symbol"/>
      </w:rPr>
    </w:lvl>
  </w:abstractNum>
  <w:abstractNum w:abstractNumId="42">
    <w:multiLevelType w:val="multilevel"/>
    <w:lvl w:ilvl="0">
      <w:start w:val="1"/>
      <w:numFmt w:val="bullet"/>
      <w:lvlText w:val=""/>
      <w:lvlJc w:val="left"/>
      <w:pPr>
        <w:ind w:left="960" w:hanging="360"/>
      </w:pPr>
      <w:rPr>
        <w:rFonts w:hint="default" w:ascii="Symbol" w:hAnsi="Symbol"/>
      </w:rPr>
    </w:lvl>
  </w:abstractNum>
  <w:abstractNum w:abstractNumId="43">
    <w:multiLevelType w:val="multilevel"/>
    <w:lvl w:ilvl="0">
      <w:start w:val="1"/>
      <w:numFmt w:val="bullet"/>
      <w:lvlText w:val=""/>
      <w:lvlJc w:val="left"/>
      <w:pPr>
        <w:ind w:left="960" w:hanging="360"/>
      </w:pPr>
      <w:rPr>
        <w:rFonts w:hint="default" w:ascii="Symbol" w:hAnsi="Symbol"/>
      </w:rPr>
    </w:lvl>
  </w:abstractNum>
  <w:abstractNum w:abstractNumId="44">
    <w:multiLevelType w:val="multilevel"/>
    <w:lvl w:ilvl="0">
      <w:start w:val="1"/>
      <w:numFmt w:val="bullet"/>
      <w:lvlText w:val=""/>
      <w:lvlJc w:val="left"/>
      <w:pPr>
        <w:ind w:left="960" w:hanging="360"/>
      </w:pPr>
      <w:rPr>
        <w:rFonts w:hint="default" w:ascii="Symbol" w:hAnsi="Symbol"/>
      </w:rPr>
    </w:lvl>
  </w:abstractNum>
  <w:abstractNum w:abstractNumId="45">
    <w:multiLevelType w:val="multilevel"/>
    <w:lvl w:ilvl="0">
      <w:start w:val="1"/>
      <w:numFmt w:val="bullet"/>
      <w:lvlText w:val=""/>
      <w:lvlJc w:val="left"/>
      <w:pPr>
        <w:ind w:left="960" w:hanging="360"/>
      </w:pPr>
      <w:rPr>
        <w:rFonts w:hint="default" w:ascii="Symbol" w:hAnsi="Symbol"/>
      </w:rPr>
    </w:lvl>
  </w:abstractNum>
  <w:abstractNum w:abstractNumId="46">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1"/>
    <w:lvlOverride w:ilvl="1">
      <w:startOverride w:val="1"/>
      <w:lvl w:ilvl="1">
        <w:numFmt w:val="bullet"/>
        <w:lvlText w:val=""/>
        <w:pPr>
          <w:ind w:left="1560" w:hanging="360"/>
        </w:pPr>
        <w:rPr>
          <w:rFonts w:hint="default" w:ascii="Symbol" w:hAnsi="Symbol"/>
        </w:rPr>
      </w:lvl>
    </w:lvlOverride>
  </w:num>
  <w:num w:numId="3">
    <w:abstractNumId w:val="1"/>
    <w:lvlOverride w:ilvl="1">
      <w:startOverride w:val="1"/>
      <w:lvl w:ilvl="1">
        <w:numFmt w:val="bullet"/>
        <w:lvlText w:val=""/>
        <w:pPr>
          <w:ind w:left="1560" w:hanging="360"/>
        </w:pPr>
        <w:rPr>
          <w:rFonts w:hint="default" w:ascii="Symbol" w:hAnsi="Symbol"/>
        </w:rPr>
      </w:lvl>
    </w:lvlOverride>
  </w:num>
  <w:num w:numId="4">
    <w:abstractNumId w:val="1"/>
    <w:lvlOverride w:ilvl="1">
      <w:startOverride w:val="1"/>
      <w:lvl w:ilvl="1">
        <w:numFmt w:val="bullet"/>
        <w:lvlText w:val=""/>
        <w:pPr>
          <w:ind w:left="1560" w:hanging="360"/>
        </w:pPr>
        <w:rPr>
          <w:rFonts w:hint="default" w:ascii="Symbol" w:hAnsi="Symbol"/>
        </w:rPr>
      </w:lvl>
    </w:lvlOverride>
  </w:num>
  <w:num w:numId="5">
    <w:abstractNumId w:val="1"/>
    <w:lvlOverride w:ilvl="1">
      <w:startOverride w:val="1"/>
      <w:lvl w:ilvl="1">
        <w:numFmt w:val="bullet"/>
        <w:lvlText w:val=""/>
        <w:pPr>
          <w:ind w:left="1560" w:hanging="360"/>
        </w:pPr>
        <w:rPr>
          <w:rFonts w:hint="default" w:ascii="Symbol" w:hAnsi="Symbol"/>
        </w:rPr>
      </w:lvl>
    </w:lvlOverride>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4"/>
  </w:num>
  <w:num w:numId="39">
    <w:abstractNumId w:val="35"/>
  </w:num>
  <w:num w:numId="40">
    <w:abstractNumId w:val="36"/>
  </w:num>
  <w:num w:numId="41">
    <w:abstractNumId w:val="37"/>
  </w:num>
  <w:num w:numId="42">
    <w:abstractNumId w:val="38"/>
  </w:num>
  <w:num w:numId="43">
    <w:abstractNumId w:val="39"/>
  </w:num>
  <w:num w:numId="44">
    <w:abstractNumId w:val="40"/>
  </w:num>
  <w:num w:numId="45">
    <w:abstractNumId w:val="41"/>
  </w:num>
  <w:num w:numId="46">
    <w:abstractNumId w:val="42"/>
  </w:num>
  <w:num w:numId="47">
    <w:abstractNumId w:val="43"/>
  </w:num>
  <w:num w:numId="48">
    <w:abstractNumId w:val="44"/>
  </w:num>
  <w:num w:numId="49">
    <w:abstractNumId w:val="45"/>
  </w:num>
  <w:num w:numId="50">
    <w:abstractNumId w:val="4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documentProtection w:enforcement="fals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handreichungen.bfit-bund.de/umfrage-barrierefreiheit-an-hochschulen/1.0/docs/barrierefreiheit-an-Hochschulen.pdf" Type="http://schemas.openxmlformats.org/officeDocument/2006/relationships/hyperlink" Id="rId4"/>
    <Relationship TargetMode="External" Target="https://handreichungen.bfit-bund.de/umfrage-barrierefreiheit-an-hochschulen/1.0/docs/barrierefreiheit-an-Hochschulen.docx" Type="http://schemas.openxmlformats.org/officeDocument/2006/relationships/hyperlink" Id="rId5"/>
    <Relationship TargetMode="External" Target="https://handreichungen.bfit-bund.de/umfrage-barrierefreiheit-an-hochschulen/1.0/kapitel01.html" Type="http://schemas.openxmlformats.org/officeDocument/2006/relationships/hyperlink" Id="rId6"/>
    <Relationship TargetMode="External" Target="https://www.barrierefreiheit-dienstekonsolidierung.bund.de/Webs/PB/DE/gesetze-und-richtlinien/gesetze-und-richtlinien-node.html" Type="http://schemas.openxmlformats.org/officeDocument/2006/relationships/hyperlink" Id="rId7"/>
    <Relationship TargetMode="External" Target="https://handreichungen.bfit-bund.de/leitfaden-vergabeprozess/" Type="http://schemas.openxmlformats.org/officeDocument/2006/relationships/hyperlink" Id="rId8"/>
    <Relationship TargetMode="External" Target="https://www.gesetze-im-internet.de/bgg/BJNR146800002.html" Type="http://schemas.openxmlformats.org/officeDocument/2006/relationships/hyperlink" Id="rId9"/>
    <Relationship TargetMode="External" Target="https://www.gesetze-im-internet.de/bitv_2_0/BJNR184300011.html" Type="http://schemas.openxmlformats.org/officeDocument/2006/relationships/hyperlink" Id="rId10"/>
    <Relationship TargetMode="External" Target="https://handreichungen.bfit-bund.de/leitfaden-vergabeprozess/" Type="http://schemas.openxmlformats.org/officeDocument/2006/relationships/hyperlink" Id="rId11"/>
    <Relationship TargetMode="External" Target="https://www.bfit-bund.de/DE/Ausschuss/Arbeitsgruppen/arbeitsgruppen_node.html" Type="http://schemas.openxmlformats.org/officeDocument/2006/relationships/hyperlink" Id="rId12"/>
    <Relationship TargetMode="External" Target="https://www.bfit-bund.de/DE/Ausschuss/ausschuss-barrierefreie-informationstechnik.html" Type="http://schemas.openxmlformats.org/officeDocument/2006/relationships/hyperlink" Id="rId13"/>
    <Relationship TargetMode="External" Target="https://handreichungen.bfit-bund.de/umfrage-barrierefreiheit-an-hochschulen/1.0/kapitel02.html" Type="http://schemas.openxmlformats.org/officeDocument/2006/relationships/hyperlink" Id="rId14"/>
    <Relationship TargetMode="External" Target="https://www.destatis.de/DE/Themen/Gesellschaft-Umwelt/Bildung-Forschung-Kultur/Hochschulen/Tabellen/hochschulen-hochschularten.html" Type="http://schemas.openxmlformats.org/officeDocument/2006/relationships/hyperlink" Id="rId15"/>
    <Relationship TargetMode="External" Target="https://www.datenportal.bmbf.de/portal/de/Tabelle-2.5.1.html?qw=Hochschulen" Type="http://schemas.openxmlformats.org/officeDocument/2006/relationships/hyperlink" Id="rId16"/>
    <Relationship TargetMode="External" Target="https://handreichungen.bfit-bund.de/umfrage-barrierefreiheit-an-hochschulen/1.0/kapitel03.html" Type="http://schemas.openxmlformats.org/officeDocument/2006/relationships/hyperlink" Id="rId17"/>
    <Relationship TargetMode="External" Target="https://www.datenportal.bmbf.de/portal/de/Tabelle-2.5.1.html?qw=Hochschulen" Type="http://schemas.openxmlformats.org/officeDocument/2006/relationships/hyperlink" Id="rId18"/>
    <Relationship TargetMode="External" Target="https://www.datenportal.bmbf.de/portal/de/Tabelle-2.5.1.html?qw=Hochschulen" Type="http://schemas.openxmlformats.org/officeDocument/2006/relationships/hyperlink" Id="rId19"/>
    <Relationship TargetMode="External" Target="https://www.datenportal.bmbf.de/portal/de/Tabelle-2.5.1.html?qw=Hochschulen" Type="http://schemas.openxmlformats.org/officeDocument/2006/relationships/hyperlink" Id="rId20"/>
    <Relationship TargetMode="External" Target="https://handreichungen.bfit-bund.de/umfrage-barrierefreiheit-an-hochschulen/1.0/kapitel04.html" Type="http://schemas.openxmlformats.org/officeDocument/2006/relationships/hyperlink" Id="rId21"/>
    <Relationship Target="media/document_image_rId22.png" Type="http://schemas.openxmlformats.org/officeDocument/2006/relationships/image" Id="rId22"/>
    <Relationship Target="media/document_image_rId23.png" Type="http://schemas.openxmlformats.org/officeDocument/2006/relationships/image" Id="rId23"/>
    <Relationship Target="media/document_image_rId24.png" Type="http://schemas.openxmlformats.org/officeDocument/2006/relationships/image" Id="rId24"/>
    <Relationship Target="media/document_image_rId25.png" Type="http://schemas.openxmlformats.org/officeDocument/2006/relationships/image" Id="rId25"/>
    <Relationship Target="media/document_image_rId26.png" Type="http://schemas.openxmlformats.org/officeDocument/2006/relationships/image" Id="rId26"/>
    <Relationship Target="media/document_image_rId27.png" Type="http://schemas.openxmlformats.org/officeDocument/2006/relationships/image" Id="rId27"/>
    <Relationship Target="media/document_image_rId28.png" Type="http://schemas.openxmlformats.org/officeDocument/2006/relationships/image" Id="rId28"/>
    <Relationship Target="media/document_image_rId29.png" Type="http://schemas.openxmlformats.org/officeDocument/2006/relationships/image" Id="rId29"/>
    <Relationship Target="media/document_image_rId30.png" Type="http://schemas.openxmlformats.org/officeDocument/2006/relationships/image" Id="rId30"/>
    <Relationship Target="media/document_image_rId31.png" Type="http://schemas.openxmlformats.org/officeDocument/2006/relationships/image" Id="rId31"/>
    <Relationship Target="media/document_image_rId32.png" Type="http://schemas.openxmlformats.org/officeDocument/2006/relationships/image" Id="rId32"/>
    <Relationship Target="media/document_image_rId33.png" Type="http://schemas.openxmlformats.org/officeDocument/2006/relationships/image" Id="rId33"/>
    <Relationship Target="media/document_image_rId34.png" Type="http://schemas.openxmlformats.org/officeDocument/2006/relationships/image" Id="rId34"/>
    <Relationship Target="media/document_image_rId35.png" Type="http://schemas.openxmlformats.org/officeDocument/2006/relationships/image" Id="rId35"/>
    <Relationship Target="media/document_image_rId36.png" Type="http://schemas.openxmlformats.org/officeDocument/2006/relationships/image" Id="rId36"/>
    <Relationship Target="media/document_image_rId37.png" Type="http://schemas.openxmlformats.org/officeDocument/2006/relationships/image" Id="rId37"/>
    <Relationship Target="media/document_image_rId38.png" Type="http://schemas.openxmlformats.org/officeDocument/2006/relationships/image" Id="rId38"/>
    <Relationship Target="media/document_image_rId39.png" Type="http://schemas.openxmlformats.org/officeDocument/2006/relationships/image" Id="rId39"/>
    <Relationship Target="media/document_image_rId40.png" Type="http://schemas.openxmlformats.org/officeDocument/2006/relationships/image" Id="rId40"/>
    <Relationship Target="media/document_image_rId41.png" Type="http://schemas.openxmlformats.org/officeDocument/2006/relationships/image" Id="rId41"/>
    <Relationship Target="media/document_image_rId42.png" Type="http://schemas.openxmlformats.org/officeDocument/2006/relationships/image" Id="rId42"/>
    <Relationship Target="media/document_image_rId43.png" Type="http://schemas.openxmlformats.org/officeDocument/2006/relationships/image" Id="rId43"/>
    <Relationship TargetMode="External" Target="https://www.gesetze-im-internet.de/sgb_9_2018/BJNR323410016.html" Type="http://schemas.openxmlformats.org/officeDocument/2006/relationships/hyperlink" Id="rId44"/>
    <Relationship Target="media/document_image_rId45.png" Type="http://schemas.openxmlformats.org/officeDocument/2006/relationships/image" Id="rId45"/>
    <Relationship TargetMode="External" Target="https://handreichungen.bfit-bund.de/umfrage-barrierefreiheit-an-hochschulen/1.0/kapitel05.html" Type="http://schemas.openxmlformats.org/officeDocument/2006/relationships/hyperlink" Id="rId46"/>
    <Relationship TargetMode="External" Target="https://handreichungen.bfit-bund.de/bf-dokumente-lernkontext/" Type="http://schemas.openxmlformats.org/officeDocument/2006/relationships/hyperlink" Id="rId47"/>
    <Relationship TargetMode="External" Target="https://handreichungen.bfit-bund.de/lms-handreichung/" Type="http://schemas.openxmlformats.org/officeDocument/2006/relationships/hyperlink" Id="rId48"/>
    <Relationship TargetMode="External" Target="https://handreichungen.bfit-bund.de/leitfaden-vergabeprozess/" Type="http://schemas.openxmlformats.org/officeDocument/2006/relationships/hyperlink" Id="rId49"/>
    <Relationship TargetMode="External" Target="https://shuffle-projekt.de/shuffle-reifegradmodell/" Type="http://schemas.openxmlformats.org/officeDocument/2006/relationships/hyperlink" Id="rId50"/>
    <Relationship Target="media/document_image_rId51.png" Type="http://schemas.openxmlformats.org/officeDocument/2006/relationships/image" Id="rId51"/>
    <Relationship TargetMode="External" Target="https://handreichungen.bfit-bund.de/umfrage-barrierefreiheit-an-hochschulen/1.0/fragenliste.html" Type="http://schemas.openxmlformats.org/officeDocument/2006/relationships/hyperlink" Id="rId52"/>
    <Relationship TargetMode="External" Target="https://www.hdm-stuttgart.de" Type="http://schemas.openxmlformats.org/officeDocument/2006/relationships/hyperlink" Id="rId53"/>
    <Relationship TargetMode="External" Target="https://handreichungen.bfit-bund.de/umfrage-barrierefreiheit-an-hochschulen/1.0/quellen.html" Type="http://schemas.openxmlformats.org/officeDocument/2006/relationships/hyperlink" Id="rId54"/>
    <Relationship TargetMode="External" Target="https://www.barrierefreiheit-dienstekonsolidierung.bund.de/Webs/PB/DE/gesetze-und-richtlinien/gesetze-und-richtlinien-node.html" Type="http://schemas.openxmlformats.org/officeDocument/2006/relationships/hyperlink" Id="rId55"/>
    <Relationship TargetMode="External" Target="https://handreichungen.bfit-bund.de/leitfaden-vergabeprozess/" Type="http://schemas.openxmlformats.org/officeDocument/2006/relationships/hyperlink" Id="rId56"/>
    <Relationship TargetMode="External" Target="https://www.bfit-bund.de/DE/Ausschuss/Arbeitsgruppen/arbeitsgruppen_node.html" Type="http://schemas.openxmlformats.org/officeDocument/2006/relationships/hyperlink" Id="rId57"/>
    <Relationship TargetMode="External" Target="https://www.bfit-bund.de/DE/Ausschuss/ausschuss-barrierefreie-informationstechnik.html" Type="http://schemas.openxmlformats.org/officeDocument/2006/relationships/hyperlink" Id="rId58"/>
    <Relationship TargetMode="External" Target="https://www.destatis.de/DE/Themen/Gesellschaft-Umwelt/Bildung-Forschung-Kultur/Hochschulen/Tabellen/hochschulen-hochschularten.html" Type="http://schemas.openxmlformats.org/officeDocument/2006/relationships/hyperlink" Id="rId59"/>
    <Relationship TargetMode="External" Target="https://www.datenportal.bmbf.de/portal/de/Tabelle-2.5.1.html?qw=Hochschulen" Type="http://schemas.openxmlformats.org/officeDocument/2006/relationships/hyperlink" Id="rId60"/>
    <Relationship TargetMode="External" Target="https://www.govdata.de/dl-de/by-2-0" Type="http://schemas.openxmlformats.org/officeDocument/2006/relationships/hyperlink" Id="rId61"/>
    <Relationship TargetMode="External" Target="https://www.govdata.de/dl-de/by-2-0" Type="http://schemas.openxmlformats.org/officeDocument/2006/relationships/hyperlink" Id="rId62"/>
    <Relationship TargetMode="External" Target="https://www.datenportal.bmbf.de/portal/de/Tabelle-2.5.1.html?qw=Hochschulen" Type="http://schemas.openxmlformats.org/officeDocument/2006/relationships/hyperlink" Id="rId63"/>
    <Relationship TargetMode="External" Target="https://www.govdata.de/dl-de/by-2-0" Type="http://schemas.openxmlformats.org/officeDocument/2006/relationships/hyperlink" Id="rId64"/>
    <Relationship TargetMode="External" Target="https://www.gesetze-im-internet.de/bgg/BJNR146800002.html" Type="http://schemas.openxmlformats.org/officeDocument/2006/relationships/hyperlink" Id="rId65"/>
    <Relationship TargetMode="External" Target="https://www.gesetze-im-internet.de/bitv_2_0/BJNR184300011.html" Type="http://schemas.openxmlformats.org/officeDocument/2006/relationships/hyperlink" Id="rId66"/>
    <Relationship TargetMode="External" Target="https://www.gesetze-im-internet.de/sgb_9_2018/BJNR323410016.html" Type="http://schemas.openxmlformats.org/officeDocument/2006/relationships/hyperlink" Id="rId67"/>
    <Relationship TargetMode="External" Target="https://handreichungen.bfit-bund.de/bf-dokumente-lernkontext/" Type="http://schemas.openxmlformats.org/officeDocument/2006/relationships/hyperlink" Id="rId68"/>
    <Relationship TargetMode="External" Target="https://handreichungen.bfit-bund.de/lms-handreichung/" Type="http://schemas.openxmlformats.org/officeDocument/2006/relationships/hyperlink" Id="rId69"/>
    <Relationship TargetMode="External" Target="https://handreichungen.bfit-bund.de/leitfaden-vergabeprozess/" Type="http://schemas.openxmlformats.org/officeDocument/2006/relationships/hyperlink" Id="rId70"/>
    <Relationship TargetMode="External" Target="https://shuffle-projekt.de/shuffle-reifegradmodell/" Type="http://schemas.openxmlformats.org/officeDocument/2006/relationships/hyperlink" Id="rId71"/>
    <Relationship TargetMode="External" Target="https://handreichungen.bfit-bund.de/umfrage-barrierefreiheit-an-hochschulen/1.0/autoren.html" Type="http://schemas.openxmlformats.org/officeDocument/2006/relationships/hyperlink" Id="rId72"/>
    <Relationship TargetMode="External" Target="https://handreichungen.bfit-bund.de/umfrage-barrierefreiheit-an-hochschulen/1.0/lizenz.html" Type="http://schemas.openxmlformats.org/officeDocument/2006/relationships/hyperlink" Id="rId73"/>
    <Relationship TargetMode="External" Target="https://creativecommons.org/licenses/by-sa/4.0/deed.de" Type="http://schemas.openxmlformats.org/officeDocument/2006/relationships/hyperlink" Id="rId74"/>
    <Relationship TargetMode="External" Target="mailto:zentrale@kbs.de" Type="http://schemas.openxmlformats.org/officeDocument/2006/relationships/hyperlink" Id="rId7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